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027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93" w:name="_GoBack"/>
      <w:bookmarkEnd w:id="93"/>
    </w:p>
    <w:p w14:paraId="5E4BBF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2EFA1F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982E6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7D48FC2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05A558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参照</w:t>
      </w:r>
      <w:r>
        <w:rPr>
          <w:rFonts w:hint="eastAsia" w:ascii="宋体" w:hAnsi="宋体" w:eastAsia="宋体"/>
          <w:b/>
          <w:bCs/>
          <w:color w:val="auto"/>
          <w:sz w:val="52"/>
          <w:szCs w:val="52"/>
          <w:highlight w:val="none"/>
          <w:lang w:eastAsia="zh-CN"/>
        </w:rPr>
        <w:t>）</w:t>
      </w:r>
    </w:p>
    <w:p w14:paraId="76F94D9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4ECBA7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FDAC77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61267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D66F9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56235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96A0B6">
      <w:pPr>
        <w:tabs>
          <w:tab w:val="left" w:pos="2410"/>
        </w:tabs>
        <w:autoSpaceDE w:val="0"/>
        <w:autoSpaceDN w:val="0"/>
        <w:adjustRightInd w:val="0"/>
        <w:snapToGrid w:val="0"/>
        <w:spacing w:line="360" w:lineRule="auto"/>
        <w:ind w:left="-404" w:leftChars="-200" w:right="-512" w:rightChars="-244" w:hanging="16" w:hangingChars="5"/>
        <w:jc w:val="center"/>
        <w:rPr>
          <w:rFonts w:hint="default" w:ascii="宋体" w:hAnsi="宋体" w:eastAsia="宋体"/>
          <w:b/>
          <w:color w:val="auto"/>
          <w:spacing w:val="0"/>
          <w:kern w:val="0"/>
          <w:sz w:val="32"/>
          <w:szCs w:val="32"/>
          <w:highlight w:val="none"/>
          <w:lang w:val="en-US" w:eastAsia="zh-CN"/>
        </w:rPr>
      </w:pPr>
      <w:r>
        <w:rPr>
          <w:rFonts w:hint="eastAsia" w:ascii="宋体" w:hAnsi="宋体" w:eastAsia="宋体"/>
          <w:b/>
          <w:color w:val="auto"/>
          <w:spacing w:val="0"/>
          <w:w w:val="100"/>
          <w:kern w:val="0"/>
          <w:sz w:val="32"/>
          <w:szCs w:val="32"/>
          <w:highlight w:val="none"/>
        </w:rPr>
        <w:t>项目名称：</w:t>
      </w:r>
      <w:r>
        <w:rPr>
          <w:rFonts w:hint="eastAsia" w:ascii="宋体" w:hAnsi="宋体" w:eastAsia="宋体"/>
          <w:b/>
          <w:color w:val="auto"/>
          <w:spacing w:val="0"/>
          <w:w w:val="100"/>
          <w:kern w:val="0"/>
          <w:sz w:val="32"/>
          <w:szCs w:val="32"/>
          <w:highlight w:val="none"/>
          <w:u w:val="single"/>
          <w:lang w:val="en-US" w:eastAsia="zh-CN"/>
        </w:rPr>
        <w:t>滁州市机电工程学校老校区校医院服务项目</w:t>
      </w:r>
    </w:p>
    <w:p w14:paraId="7688762F">
      <w:pPr>
        <w:tabs>
          <w:tab w:val="left" w:pos="2410"/>
        </w:tabs>
        <w:autoSpaceDE w:val="0"/>
        <w:autoSpaceDN w:val="0"/>
        <w:adjustRightInd w:val="0"/>
        <w:snapToGrid w:val="0"/>
        <w:spacing w:line="360" w:lineRule="auto"/>
        <w:ind w:firstLine="321" w:firstLineChars="100"/>
        <w:rPr>
          <w:rFonts w:hint="default" w:ascii="宋体" w:hAnsi="宋体" w:eastAsia="宋体"/>
          <w:b/>
          <w:color w:val="auto"/>
          <w:spacing w:val="0"/>
          <w:kern w:val="0"/>
          <w:sz w:val="32"/>
          <w:szCs w:val="32"/>
          <w:highlight w:val="none"/>
          <w:lang w:val="en-US"/>
        </w:rPr>
      </w:pPr>
      <w:r>
        <w:rPr>
          <w:rFonts w:hint="eastAsia" w:ascii="宋体" w:hAnsi="宋体" w:eastAsia="宋体"/>
          <w:b/>
          <w:color w:val="auto"/>
          <w:spacing w:val="0"/>
          <w:kern w:val="0"/>
          <w:sz w:val="32"/>
          <w:szCs w:val="32"/>
          <w:highlight w:val="none"/>
        </w:rPr>
        <w:t>采</w:t>
      </w:r>
      <w:r>
        <w:rPr>
          <w:rFonts w:hint="eastAsia" w:ascii="宋体" w:hAnsi="宋体" w:eastAsia="宋体"/>
          <w:b/>
          <w:color w:val="auto"/>
          <w:spacing w:val="0"/>
          <w:kern w:val="0"/>
          <w:sz w:val="32"/>
          <w:szCs w:val="32"/>
          <w:highlight w:val="none"/>
          <w:lang w:val="en-US" w:eastAsia="zh-CN"/>
        </w:rPr>
        <w:t xml:space="preserve"> </w:t>
      </w:r>
      <w:r>
        <w:rPr>
          <w:rFonts w:hint="eastAsia" w:ascii="宋体" w:hAnsi="宋体" w:eastAsia="宋体"/>
          <w:b/>
          <w:color w:val="auto"/>
          <w:spacing w:val="0"/>
          <w:kern w:val="0"/>
          <w:sz w:val="32"/>
          <w:szCs w:val="32"/>
          <w:highlight w:val="none"/>
        </w:rPr>
        <w:t>购</w:t>
      </w:r>
      <w:r>
        <w:rPr>
          <w:rFonts w:hint="eastAsia" w:ascii="宋体" w:hAnsi="宋体" w:eastAsia="宋体"/>
          <w:b/>
          <w:color w:val="auto"/>
          <w:spacing w:val="0"/>
          <w:kern w:val="0"/>
          <w:sz w:val="32"/>
          <w:szCs w:val="32"/>
          <w:highlight w:val="none"/>
          <w:lang w:val="en-US" w:eastAsia="zh-CN"/>
        </w:rPr>
        <w:t xml:space="preserve"> </w:t>
      </w:r>
      <w:r>
        <w:rPr>
          <w:rFonts w:hint="eastAsia" w:ascii="宋体" w:hAnsi="宋体" w:eastAsia="宋体"/>
          <w:b/>
          <w:color w:val="auto"/>
          <w:spacing w:val="0"/>
          <w:kern w:val="0"/>
          <w:sz w:val="32"/>
          <w:szCs w:val="32"/>
          <w:highlight w:val="none"/>
        </w:rPr>
        <w:t>人：</w:t>
      </w:r>
      <w:r>
        <w:rPr>
          <w:rFonts w:hint="eastAsia" w:ascii="宋体" w:hAnsi="宋体" w:eastAsia="宋体"/>
          <w:b/>
          <w:color w:val="auto"/>
          <w:spacing w:val="0"/>
          <w:kern w:val="0"/>
          <w:sz w:val="32"/>
          <w:szCs w:val="32"/>
          <w:highlight w:val="none"/>
          <w:u w:val="single"/>
          <w:lang w:val="en-US" w:eastAsia="zh-CN"/>
        </w:rPr>
        <w:t xml:space="preserve">           滁州市机电工程学校         </w:t>
      </w:r>
    </w:p>
    <w:p w14:paraId="4AC8E603">
      <w:pPr>
        <w:tabs>
          <w:tab w:val="left" w:pos="2410"/>
        </w:tabs>
        <w:autoSpaceDE w:val="0"/>
        <w:autoSpaceDN w:val="0"/>
        <w:adjustRightInd w:val="0"/>
        <w:snapToGrid w:val="0"/>
        <w:spacing w:line="360" w:lineRule="auto"/>
        <w:ind w:firstLine="321" w:firstLineChars="1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 xml:space="preserve">    安徽展荣项目管理有限公司      </w:t>
      </w:r>
    </w:p>
    <w:p w14:paraId="3A98A3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BA6DF5C">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05BC1EC9">
      <w:pPr>
        <w:keepNext w:val="0"/>
        <w:keepLines w:val="0"/>
        <w:pageBreakBefore w:val="0"/>
        <w:tabs>
          <w:tab w:val="left" w:pos="2410"/>
        </w:tabs>
        <w:kinsoku/>
        <w:wordWrap/>
        <w:overflowPunct/>
        <w:topLinePunct w:val="0"/>
        <w:autoSpaceDE w:val="0"/>
        <w:autoSpaceDN w:val="0"/>
        <w:bidi w:val="0"/>
        <w:adjustRightInd w:val="0"/>
        <w:snapToGrid w:val="0"/>
        <w:spacing w:line="440" w:lineRule="exact"/>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目  录</w:t>
      </w:r>
    </w:p>
    <w:p w14:paraId="41683262">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_Toc22972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52C3AC">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_Toc22763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F46C094">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_Toc23609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_Toc23609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9458844">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_Toc4269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14:paraId="3AA0E3ED">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_Toc13673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0</w:t>
      </w:r>
    </w:p>
    <w:p w14:paraId="09051B01">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_Toc18781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4</w:t>
      </w:r>
    </w:p>
    <w:p w14:paraId="2B101772">
      <w:pPr>
        <w:pStyle w:val="17"/>
        <w:keepNext w:val="0"/>
        <w:keepLines w:val="0"/>
        <w:pageBreakBefore w:val="0"/>
        <w:tabs>
          <w:tab w:val="right" w:leader="dot" w:pos="8306"/>
        </w:tabs>
        <w:kinsoku/>
        <w:wordWrap/>
        <w:overflowPunct/>
        <w:topLinePunct w:val="0"/>
        <w:autoSpaceDE/>
        <w:autoSpaceDN/>
        <w:bidi w:val="0"/>
        <w:adjustRightInd/>
        <w:snapToGrid/>
        <w:spacing w:after="12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_Toc28085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7</w:t>
      </w:r>
    </w:p>
    <w:p w14:paraId="4615A4F1">
      <w:pPr>
        <w:keepNext w:val="0"/>
        <w:keepLines w:val="0"/>
        <w:pageBreakBefore w:val="0"/>
        <w:kinsoku/>
        <w:wordWrap/>
        <w:overflowPunct/>
        <w:topLinePunct w:val="0"/>
        <w:autoSpaceDE/>
        <w:autoSpaceDN/>
        <w:bidi w:val="0"/>
        <w:adjustRightInd/>
        <w:snapToGrid/>
        <w:spacing w:after="120" w:line="400" w:lineRule="exact"/>
        <w:textAlignment w:val="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4944E2B0">
      <w:pPr>
        <w:pStyle w:val="8"/>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FC4F3E">
      <w:pPr>
        <w:spacing w:line="360" w:lineRule="auto"/>
        <w:jc w:val="center"/>
        <w:outlineLvl w:val="0"/>
        <w:rPr>
          <w:rFonts w:asciiTheme="minorEastAsia" w:hAnsiTheme="minorEastAsia" w:eastAsiaTheme="minorEastAsia"/>
          <w:b/>
          <w:color w:val="auto"/>
          <w:sz w:val="28"/>
          <w:highlight w:val="none"/>
        </w:rPr>
      </w:pPr>
      <w:bookmarkStart w:id="0" w:name="_Toc2297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0"/>
    </w:p>
    <w:p w14:paraId="04C5BAE5">
      <w:pPr>
        <w:keepNext w:val="0"/>
        <w:keepLines w:val="0"/>
        <w:widowControl w:val="0"/>
        <w:suppressLineNumbers w:val="0"/>
        <w:spacing w:before="0" w:beforeAutospacing="0" w:after="0" w:afterAutospacing="0" w:line="360" w:lineRule="auto"/>
        <w:ind w:right="0" w:firstLine="480" w:firstLineChars="20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027DFB86">
      <w:pPr>
        <w:keepNext w:val="0"/>
        <w:keepLines w:val="0"/>
        <w:widowControl w:val="0"/>
        <w:suppressLineNumbers w:val="0"/>
        <w:wordWrap w:val="0"/>
        <w:autoSpaceDE w:val="0"/>
        <w:autoSpaceDN/>
        <w:spacing w:before="0" w:beforeAutospacing="0" w:after="0" w:afterAutospacing="0" w:line="360" w:lineRule="auto"/>
        <w:ind w:right="0" w:firstLine="480" w:firstLineChars="200"/>
        <w:jc w:val="both"/>
        <w:outlineLvl w:val="9"/>
        <w:rPr>
          <w:rFonts w:hint="eastAsia" w:ascii="宋体" w:hAnsi="宋体" w:eastAsia="宋体" w:cs="@仿宋_GB2312"/>
          <w:b/>
          <w:bCs w:val="0"/>
          <w:color w:val="auto"/>
          <w:kern w:val="2"/>
          <w:sz w:val="28"/>
          <w:szCs w:val="28"/>
          <w:highlight w:val="none"/>
        </w:rPr>
      </w:pPr>
      <w:r>
        <w:rPr>
          <w:rFonts w:hint="eastAsia" w:ascii="宋体" w:hAnsi="宋体" w:eastAsia="宋体" w:cs="宋体"/>
          <w:color w:val="auto"/>
          <w:kern w:val="2"/>
          <w:sz w:val="24"/>
          <w:szCs w:val="24"/>
          <w:highlight w:val="none"/>
          <w:u w:val="single"/>
          <w:lang w:val="en-US" w:eastAsia="zh-CN" w:bidi="ar"/>
        </w:rPr>
        <w:t>滁州市机电工程学校老校区校医院服务项目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滁州市机电工程学校官网（http://www.cztc.edu.cn）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2025年</w:t>
      </w:r>
      <w:r>
        <w:rPr>
          <w:rFonts w:hint="eastAsia" w:ascii="宋体" w:hAnsi="宋体" w:eastAsia="宋体" w:cs="@仿宋_GB2312"/>
          <w:color w:val="auto"/>
          <w:kern w:val="2"/>
          <w:sz w:val="24"/>
          <w:szCs w:val="24"/>
          <w:highlight w:val="none"/>
          <w:u w:val="single"/>
          <w:lang w:val="en-US" w:eastAsia="zh-CN" w:bidi="ar"/>
        </w:rPr>
        <w:t>8</w:t>
      </w:r>
      <w:r>
        <w:rPr>
          <w:rFonts w:hint="eastAsia" w:ascii="宋体" w:hAnsi="宋体" w:eastAsia="宋体" w:cs="宋体"/>
          <w:color w:val="auto"/>
          <w:kern w:val="2"/>
          <w:sz w:val="24"/>
          <w:szCs w:val="24"/>
          <w:highlight w:val="none"/>
          <w:u w:val="single"/>
          <w:lang w:val="en-US" w:eastAsia="zh-CN" w:bidi="ar"/>
        </w:rPr>
        <w:t>月6日9点30分</w:t>
      </w:r>
      <w:r>
        <w:rPr>
          <w:rFonts w:hint="eastAsia" w:ascii="宋体" w:hAnsi="宋体" w:eastAsia="宋体" w:cs="宋体"/>
          <w:color w:val="auto"/>
          <w:kern w:val="2"/>
          <w:sz w:val="24"/>
          <w:szCs w:val="24"/>
          <w:highlight w:val="none"/>
          <w:lang w:val="en-US" w:eastAsia="zh-CN" w:bidi="ar"/>
        </w:rPr>
        <w:t>（北京时间）前递交投标文件。</w:t>
      </w:r>
    </w:p>
    <w:p w14:paraId="4C34ACF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一、项目基本情况</w:t>
      </w:r>
    </w:p>
    <w:p w14:paraId="3CCC0D5F">
      <w:pPr>
        <w:keepNext w:val="0"/>
        <w:keepLines w:val="0"/>
        <w:widowControl w:val="0"/>
        <w:suppressLineNumbers w:val="0"/>
        <w:spacing w:before="0" w:beforeAutospacing="0" w:after="0" w:afterAutospacing="0" w:line="360" w:lineRule="auto"/>
        <w:ind w:right="0" w:firstLine="480" w:firstLineChars="2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项目名称：滁州市机电工程学校老校区校医院服务项目</w:t>
      </w:r>
    </w:p>
    <w:p w14:paraId="36940947">
      <w:pPr>
        <w:keepNext w:val="0"/>
        <w:keepLines w:val="0"/>
        <w:widowControl w:val="0"/>
        <w:suppressLineNumbers w:val="0"/>
        <w:spacing w:before="0" w:beforeAutospacing="0" w:after="0" w:afterAutospacing="0" w:line="360" w:lineRule="auto"/>
        <w:ind w:right="0" w:firstLine="480" w:firstLineChars="2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预算金额：约13万元/年（本项目一招三年，合同每年一签，以学校搬迁时间为准，如提前搬迁当年度按月支付服务费）</w:t>
      </w:r>
    </w:p>
    <w:p w14:paraId="147B413D">
      <w:pPr>
        <w:keepNext w:val="0"/>
        <w:keepLines w:val="0"/>
        <w:widowControl w:val="0"/>
        <w:suppressLineNumbers w:val="0"/>
        <w:spacing w:before="0" w:beforeAutospacing="0" w:after="0" w:afterAutospacing="0" w:line="360" w:lineRule="auto"/>
        <w:ind w:right="0" w:firstLine="480" w:firstLineChars="2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最高限价：</w:t>
      </w:r>
      <w:r>
        <w:rPr>
          <w:rFonts w:hint="eastAsia" w:ascii="宋体" w:hAnsi="宋体" w:eastAsia="宋体" w:cs="宋体"/>
          <w:b w:val="0"/>
          <w:bCs w:val="0"/>
          <w:color w:val="auto"/>
          <w:kern w:val="2"/>
          <w:sz w:val="24"/>
          <w:szCs w:val="24"/>
          <w:highlight w:val="none"/>
          <w:lang w:val="en-US" w:eastAsia="zh-CN" w:bidi="ar"/>
        </w:rPr>
        <w:t>13万元/年</w:t>
      </w:r>
      <w:r>
        <w:rPr>
          <w:rFonts w:hint="eastAsia" w:ascii="宋体" w:hAnsi="宋体" w:eastAsia="宋体" w:cs="宋体"/>
          <w:color w:val="auto"/>
          <w:kern w:val="2"/>
          <w:sz w:val="24"/>
          <w:szCs w:val="24"/>
          <w:highlight w:val="none"/>
          <w:lang w:val="en-US" w:eastAsia="zh-CN" w:bidi="ar"/>
        </w:rPr>
        <w:t>，投标报价不得高于最高限价，否则其投标文件按无效投标处理。</w:t>
      </w:r>
    </w:p>
    <w:p w14:paraId="36411EB3">
      <w:pPr>
        <w:keepNext w:val="0"/>
        <w:keepLines w:val="0"/>
        <w:widowControl w:val="0"/>
        <w:suppressLineNumbers w:val="0"/>
        <w:spacing w:before="0" w:beforeAutospacing="0" w:after="0" w:afterAutospacing="0" w:line="360" w:lineRule="auto"/>
        <w:ind w:right="0" w:firstLine="480" w:firstLineChars="2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采购需求：详见招标文件第三章采购需求。</w:t>
      </w:r>
    </w:p>
    <w:p w14:paraId="58AC9DC4">
      <w:pPr>
        <w:keepNext w:val="0"/>
        <w:keepLines w:val="0"/>
        <w:widowControl w:val="0"/>
        <w:suppressLineNumbers w:val="0"/>
        <w:spacing w:before="0" w:beforeAutospacing="0" w:after="0" w:afterAutospacing="0" w:line="360" w:lineRule="auto"/>
        <w:ind w:right="0" w:firstLine="480" w:firstLineChars="200"/>
        <w:jc w:val="left"/>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合同履行期限：服务期三年（本项目一招三年，合同每年一签，每年年终甲方组织对乙方考核，满意度在60％以下，合同不再续签）。</w:t>
      </w:r>
    </w:p>
    <w:p w14:paraId="2894885B">
      <w:pPr>
        <w:keepNext w:val="0"/>
        <w:keepLines w:val="0"/>
        <w:widowControl w:val="0"/>
        <w:suppressLineNumbers w:val="0"/>
        <w:spacing w:before="0" w:beforeAutospacing="0" w:after="0" w:afterAutospacing="0" w:line="360" w:lineRule="auto"/>
        <w:ind w:right="0" w:firstLine="480" w:firstLineChars="2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本项目不接受联合体投标。</w:t>
      </w:r>
    </w:p>
    <w:p w14:paraId="7F40AA1B">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二、申请人的资格要求</w:t>
      </w:r>
    </w:p>
    <w:p w14:paraId="55251AA5">
      <w:pPr>
        <w:keepNext w:val="0"/>
        <w:keepLines w:val="0"/>
        <w:widowControl w:val="0"/>
        <w:suppressLineNumbers w:val="0"/>
        <w:spacing w:before="0" w:beforeAutospacing="0" w:after="0" w:afterAutospacing="0" w:line="360" w:lineRule="auto"/>
        <w:ind w:right="0" w:firstLine="480" w:firstLineChars="20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1.供应商须具有有效的营业执照；</w:t>
      </w:r>
    </w:p>
    <w:p w14:paraId="0B4B3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2.信誉要求：投标人不得存在以下情形：</w:t>
      </w:r>
    </w:p>
    <w:p w14:paraId="74258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300B5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1B152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5CCDB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23794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6751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573F1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5D4E6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3.投标人所属分公司、办事处等分支机构存在第4款信誉要求①-⑦项情形之一的，接受投标人参加本项目。</w:t>
      </w:r>
    </w:p>
    <w:p w14:paraId="66B6C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备注：第2、3条按照“关于联合惩戒失信行为加强信用查询管理的通知”查询或承诺。</w:t>
      </w:r>
    </w:p>
    <w:p w14:paraId="387605C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三、获取招标文件</w:t>
      </w:r>
    </w:p>
    <w:p w14:paraId="560ADFF1">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i/>
          <w:i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时间：2025年7月29日至2025年8月6日</w:t>
      </w:r>
    </w:p>
    <w:p w14:paraId="4CFD6EC3">
      <w:pPr>
        <w:keepNext w:val="0"/>
        <w:keepLines w:val="0"/>
        <w:widowControl w:val="0"/>
        <w:suppressLineNumbers w:val="0"/>
        <w:wordWrap w:val="0"/>
        <w:autoSpaceDE w:val="0"/>
        <w:autoSpaceDN/>
        <w:spacing w:before="0" w:beforeAutospacing="0" w:after="0" w:afterAutospacing="0" w:line="360" w:lineRule="auto"/>
        <w:ind w:left="0" w:right="0" w:firstLine="539"/>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地点：滁州市机电工程学校官网</w:t>
      </w:r>
    </w:p>
    <w:p w14:paraId="13FE13BC">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方式：网上自行下载</w:t>
      </w:r>
    </w:p>
    <w:p w14:paraId="7DDE8618">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四、开标时间和地点</w:t>
      </w:r>
    </w:p>
    <w:p w14:paraId="0BD880F2">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i w:val="0"/>
          <w:iCs w:val="0"/>
          <w:color w:val="auto"/>
          <w:spacing w:val="0"/>
          <w:kern w:val="2"/>
          <w:sz w:val="24"/>
          <w:szCs w:val="24"/>
          <w:highlight w:val="none"/>
          <w:shd w:val="clear" w:fill="FFFFFF"/>
          <w:lang w:val="en-US" w:eastAsia="zh-CN" w:bidi="ar"/>
        </w:rPr>
        <w:t>开标时间：</w:t>
      </w:r>
      <w:r>
        <w:rPr>
          <w:rFonts w:hint="eastAsia" w:ascii="宋体" w:hAnsi="宋体" w:eastAsia="宋体" w:cs="宋体"/>
          <w:bCs/>
          <w:color w:val="auto"/>
          <w:kern w:val="2"/>
          <w:sz w:val="24"/>
          <w:szCs w:val="24"/>
          <w:highlight w:val="none"/>
          <w:lang w:val="en-US" w:eastAsia="zh-CN" w:bidi="ar"/>
        </w:rPr>
        <w:t>2025年8月6日9点30分（北京时间）</w:t>
      </w:r>
    </w:p>
    <w:p w14:paraId="51C72F29">
      <w:pPr>
        <w:keepNext w:val="0"/>
        <w:keepLines w:val="0"/>
        <w:widowControl w:val="0"/>
        <w:suppressLineNumbers w:val="0"/>
        <w:autoSpaceDE w:val="0"/>
        <w:autoSpaceDN/>
        <w:spacing w:before="0" w:beforeAutospacing="0" w:after="0" w:afterAutospacing="0" w:line="360" w:lineRule="auto"/>
        <w:ind w:right="0" w:firstLine="480" w:firstLineChars="200"/>
        <w:jc w:val="both"/>
        <w:outlineLvl w:val="9"/>
        <w:rPr>
          <w:rFonts w:hint="default" w:ascii="宋体" w:hAnsi="宋体" w:eastAsia="宋体" w:cs="@仿宋_GB2312"/>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地点：安徽展荣项目管理有限公司会议室（</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滁州市世贸大厦A座18楼1818室</w:t>
      </w:r>
      <w:r>
        <w:rPr>
          <w:rFonts w:hint="eastAsia" w:ascii="宋体" w:hAnsi="宋体" w:eastAsia="宋体" w:cs="宋体"/>
          <w:b w:val="0"/>
          <w:bCs w:val="0"/>
          <w:color w:val="auto"/>
          <w:kern w:val="2"/>
          <w:sz w:val="24"/>
          <w:szCs w:val="24"/>
          <w:highlight w:val="none"/>
          <w:lang w:val="en-US" w:eastAsia="zh-CN" w:bidi="ar"/>
        </w:rPr>
        <w:t>）</w:t>
      </w:r>
    </w:p>
    <w:p w14:paraId="209390C6">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五、公告期限</w:t>
      </w:r>
    </w:p>
    <w:p w14:paraId="661575D9">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自本公告发布之日起5个工作日。</w:t>
      </w:r>
    </w:p>
    <w:p w14:paraId="4B70D60B">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六、投标保证金</w:t>
      </w:r>
    </w:p>
    <w:p w14:paraId="1129FF1B">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不要求</w:t>
      </w:r>
    </w:p>
    <w:p w14:paraId="23E6D7D1">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七、其他补充事宜</w:t>
      </w:r>
    </w:p>
    <w:p w14:paraId="042822DA">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无</w:t>
      </w:r>
    </w:p>
    <w:p w14:paraId="3B7478A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八、对本次招标提出询问，请按以下方式联系</w:t>
      </w:r>
    </w:p>
    <w:p w14:paraId="1CF4F7E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075D532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滁州市机电工程学校</w:t>
      </w:r>
    </w:p>
    <w:p w14:paraId="71D33116">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安徽省滁州市丰乐大道2238号</w:t>
      </w:r>
    </w:p>
    <w:p w14:paraId="2A46FB9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石中山</w:t>
      </w:r>
    </w:p>
    <w:p w14:paraId="0FB7BEE8">
      <w:pPr>
        <w:keepNext w:val="0"/>
        <w:keepLines w:val="0"/>
        <w:widowControl w:val="0"/>
        <w:suppressLineNumbers w:val="0"/>
        <w:spacing w:before="0" w:beforeAutospacing="0" w:after="0" w:afterAutospacing="0" w:line="360" w:lineRule="auto"/>
        <w:ind w:left="0" w:right="0" w:firstLine="435"/>
        <w:jc w:val="both"/>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13955009393</w:t>
      </w:r>
    </w:p>
    <w:p w14:paraId="2577FC1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59AA4729">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安徽展荣项目管理有限公司</w:t>
      </w:r>
    </w:p>
    <w:p w14:paraId="55DB799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滁州市世贸大厦A座18楼1818室</w:t>
      </w:r>
    </w:p>
    <w:p w14:paraId="6FDFD151">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王啸</w:t>
      </w:r>
    </w:p>
    <w:p w14:paraId="6525FD3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15155030510</w:t>
      </w:r>
    </w:p>
    <w:p w14:paraId="14DFD6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5750EF7">
      <w:pPr>
        <w:spacing w:line="360" w:lineRule="auto"/>
        <w:jc w:val="center"/>
        <w:outlineLvl w:val="0"/>
        <w:rPr>
          <w:rFonts w:asciiTheme="minorEastAsia" w:hAnsiTheme="minorEastAsia" w:eastAsiaTheme="minorEastAsia"/>
          <w:b/>
          <w:color w:val="auto"/>
          <w:sz w:val="28"/>
          <w:highlight w:val="none"/>
        </w:rPr>
      </w:pPr>
      <w:bookmarkStart w:id="1" w:name="_Toc2276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
    </w:p>
    <w:p w14:paraId="1D0E99F5">
      <w:pPr>
        <w:spacing w:line="360" w:lineRule="auto"/>
        <w:jc w:val="center"/>
        <w:outlineLvl w:val="9"/>
        <w:rPr>
          <w:rFonts w:asciiTheme="minorEastAsia" w:hAnsiTheme="minorEastAsia" w:eastAsiaTheme="minorEastAsia"/>
          <w:b/>
          <w:color w:val="auto"/>
          <w:sz w:val="24"/>
          <w:highlight w:val="none"/>
        </w:rPr>
      </w:pPr>
      <w:bookmarkStart w:id="2" w:name="_Toc3114"/>
      <w:bookmarkStart w:id="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
      <w:bookmarkEnd w:id="3"/>
    </w:p>
    <w:p w14:paraId="0978B160">
      <w:pPr>
        <w:spacing w:line="360" w:lineRule="auto"/>
        <w:ind w:firstLine="241" w:firstLineChars="100"/>
        <w:outlineLvl w:val="9"/>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718"/>
        <w:gridCol w:w="6695"/>
      </w:tblGrid>
      <w:tr w14:paraId="2F6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865F332">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907" w:type="pct"/>
            <w:vAlign w:val="center"/>
          </w:tcPr>
          <w:p w14:paraId="7620405C">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535" w:type="pct"/>
            <w:vAlign w:val="center"/>
          </w:tcPr>
          <w:p w14:paraId="7AB68C35">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74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4BFB036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07" w:type="pct"/>
            <w:vAlign w:val="center"/>
          </w:tcPr>
          <w:p w14:paraId="33E1A29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35" w:type="pct"/>
            <w:vAlign w:val="center"/>
          </w:tcPr>
          <w:p w14:paraId="1D8D4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95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F60A2FB">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907" w:type="pct"/>
            <w:vAlign w:val="center"/>
          </w:tcPr>
          <w:p w14:paraId="590F3B1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535" w:type="pct"/>
            <w:vAlign w:val="center"/>
          </w:tcPr>
          <w:p w14:paraId="28B500AD">
            <w:pPr>
              <w:pStyle w:val="3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bCs w:val="0"/>
                <w:color w:val="auto"/>
                <w:sz w:val="24"/>
                <w:highlight w:val="none"/>
                <w:lang w:eastAsia="zh-CN"/>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如投标人对招标文件有疑问，请于2025年8月3日15时前，投标人将所遇到的问题以电子邮件形式传至1260027335@qq.com（邮箱）；</w:t>
            </w:r>
          </w:p>
        </w:tc>
      </w:tr>
      <w:tr w14:paraId="1F3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77A462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6.2</w:t>
            </w:r>
          </w:p>
        </w:tc>
        <w:tc>
          <w:tcPr>
            <w:tcW w:w="907" w:type="pct"/>
            <w:vAlign w:val="center"/>
          </w:tcPr>
          <w:p w14:paraId="3A8F5B7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535" w:type="pct"/>
            <w:vAlign w:val="center"/>
          </w:tcPr>
          <w:p w14:paraId="2D66221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答疑、澄清内容于2025年8月4日15 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2E8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863B9A0">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907" w:type="pct"/>
            <w:vAlign w:val="center"/>
          </w:tcPr>
          <w:p w14:paraId="35FCECA2">
            <w:pPr>
              <w:pStyle w:val="33"/>
              <w:widowControl w:val="0"/>
              <w:spacing w:before="0" w:beforeAutospacing="0" w:after="0" w:afterAutospacing="0"/>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535" w:type="pct"/>
            <w:vAlign w:val="center"/>
          </w:tcPr>
          <w:p w14:paraId="3AF073E8">
            <w:pPr>
              <w:pStyle w:val="33"/>
              <w:widowControl w:val="0"/>
              <w:spacing w:before="0" w:beforeAutospacing="0" w:after="0" w:afterAutospacing="0"/>
              <w:jc w:val="both"/>
              <w:outlineLvl w:val="9"/>
              <w:rPr>
                <w:rFonts w:ascii="宋体" w:hAnsi="宋体" w:eastAsia="宋体"/>
                <w:b w:val="0"/>
                <w:color w:val="auto"/>
                <w:sz w:val="24"/>
                <w:highlight w:val="none"/>
                <w:u w:val="single"/>
              </w:rPr>
            </w:pPr>
            <w:r>
              <w:rPr>
                <w:rFonts w:ascii="宋体" w:hAnsi="宋体" w:eastAsia="宋体"/>
                <w:b w:val="0"/>
                <w:color w:val="auto"/>
                <w:sz w:val="24"/>
                <w:highlight w:val="none"/>
              </w:rPr>
              <w:t xml:space="preserve">不分包    </w:t>
            </w:r>
          </w:p>
        </w:tc>
      </w:tr>
      <w:tr w14:paraId="474E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7" w:type="pct"/>
            <w:vAlign w:val="center"/>
          </w:tcPr>
          <w:p w14:paraId="294648E7">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907" w:type="pct"/>
            <w:vAlign w:val="center"/>
          </w:tcPr>
          <w:p w14:paraId="51EF6315">
            <w:pPr>
              <w:pStyle w:val="33"/>
              <w:widowControl w:val="0"/>
              <w:spacing w:before="0" w:beforeAutospacing="0" w:after="0" w:afterAutospacing="0" w:line="360" w:lineRule="auto"/>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535" w:type="pct"/>
            <w:vAlign w:val="center"/>
          </w:tcPr>
          <w:p w14:paraId="6323093D">
            <w:pPr>
              <w:spacing w:line="360" w:lineRule="auto"/>
              <w:outlineLvl w:val="9"/>
              <w:rPr>
                <w:color w:val="auto"/>
                <w:highlight w:val="none"/>
              </w:rPr>
            </w:pPr>
            <w:r>
              <w:rPr>
                <w:rFonts w:hint="eastAsia" w:ascii="宋体" w:hAnsi="宋体" w:eastAsia="宋体"/>
                <w:bCs/>
                <w:color w:val="auto"/>
                <w:kern w:val="0"/>
                <w:sz w:val="24"/>
                <w:szCs w:val="28"/>
                <w:highlight w:val="none"/>
              </w:rPr>
              <w:t>不收取</w:t>
            </w:r>
          </w:p>
        </w:tc>
      </w:tr>
      <w:tr w14:paraId="01DF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66CAF54D">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907" w:type="pct"/>
            <w:vAlign w:val="center"/>
          </w:tcPr>
          <w:p w14:paraId="35213FC2">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535" w:type="pct"/>
            <w:vAlign w:val="center"/>
          </w:tcPr>
          <w:p w14:paraId="6C085DB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1B1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68ACD7A">
            <w:pPr>
              <w:pStyle w:val="34"/>
              <w:pBdr>
                <w:bottom w:val="none" w:color="auto" w:sz="0" w:space="0"/>
              </w:pBdr>
              <w:tabs>
                <w:tab w:val="clear" w:pos="4153"/>
                <w:tab w:val="clear" w:pos="8306"/>
              </w:tabs>
              <w:adjustRightInd/>
              <w:spacing w:line="240" w:lineRule="auto"/>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907" w:type="pct"/>
            <w:vAlign w:val="center"/>
          </w:tcPr>
          <w:p w14:paraId="25DF3470">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投标文件份数</w:t>
            </w:r>
          </w:p>
        </w:tc>
        <w:tc>
          <w:tcPr>
            <w:tcW w:w="3535" w:type="pct"/>
            <w:vAlign w:val="center"/>
          </w:tcPr>
          <w:p w14:paraId="3EC564CF">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default"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bCs w:val="0"/>
                <w:color w:val="auto"/>
                <w:kern w:val="2"/>
                <w:sz w:val="24"/>
                <w:szCs w:val="24"/>
                <w:highlight w:val="none"/>
                <w:lang w:val="en-US" w:eastAsia="zh-CN" w:bidi="ar-SA"/>
              </w:rPr>
              <w:t>资信证明文件正本1份，副本2份；技术标文件正本1份，副本2份；商务标文件正本1份，副本2份。</w:t>
            </w:r>
          </w:p>
        </w:tc>
      </w:tr>
      <w:tr w14:paraId="36AB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063842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12.2</w:t>
            </w:r>
          </w:p>
        </w:tc>
        <w:tc>
          <w:tcPr>
            <w:tcW w:w="907" w:type="pct"/>
            <w:vAlign w:val="center"/>
          </w:tcPr>
          <w:p w14:paraId="32A80F67">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highlight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535" w:type="pct"/>
            <w:vAlign w:val="center"/>
          </w:tcPr>
          <w:p w14:paraId="2CB73423">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术标文件袋内，商务标正副本密封于商务文件袋内，否则其投标文件将被拒收。</w:t>
            </w:r>
          </w:p>
        </w:tc>
      </w:tr>
      <w:tr w14:paraId="7D79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A44F642">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907" w:type="pct"/>
            <w:vAlign w:val="center"/>
          </w:tcPr>
          <w:p w14:paraId="00ED8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val="en-US" w:eastAsia="zh-CN"/>
              </w:rPr>
            </w:pPr>
            <w:r>
              <w:rPr>
                <w:rFonts w:hint="eastAsia" w:ascii="宋体" w:hAnsi="宋体" w:eastAsia="宋体" w:cs="宋体"/>
                <w:color w:val="auto"/>
                <w:sz w:val="24"/>
                <w:szCs w:val="24"/>
                <w:highlight w:val="none"/>
              </w:rPr>
              <w:t>投标文件封套上应载明的信息</w:t>
            </w:r>
          </w:p>
        </w:tc>
        <w:tc>
          <w:tcPr>
            <w:tcW w:w="3535" w:type="pct"/>
            <w:vAlign w:val="center"/>
          </w:tcPr>
          <w:p w14:paraId="39676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1108F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42C95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DAEA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0759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BD6B4D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907" w:type="pct"/>
            <w:vAlign w:val="center"/>
          </w:tcPr>
          <w:p w14:paraId="72292FA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535" w:type="pct"/>
            <w:vAlign w:val="center"/>
          </w:tcPr>
          <w:p w14:paraId="29592FD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508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B2B128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907" w:type="pct"/>
            <w:vAlign w:val="center"/>
          </w:tcPr>
          <w:p w14:paraId="5BBDAB0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535" w:type="pct"/>
            <w:vAlign w:val="center"/>
          </w:tcPr>
          <w:p w14:paraId="708C446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312D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AC4A26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907" w:type="pct"/>
            <w:vAlign w:val="center"/>
          </w:tcPr>
          <w:p w14:paraId="0C7AFC0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535" w:type="pct"/>
            <w:vAlign w:val="center"/>
          </w:tcPr>
          <w:p w14:paraId="11801A3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u w:val="single"/>
              </w:rPr>
            </w:pPr>
            <w:r>
              <w:rPr>
                <w:rFonts w:hint="eastAsia" w:ascii="宋体" w:hAnsi="宋体" w:eastAsia="宋体" w:cs="宋体"/>
                <w:b w:val="0"/>
                <w:bCs w:val="0"/>
                <w:color w:val="auto"/>
                <w:sz w:val="24"/>
                <w:szCs w:val="24"/>
                <w:highlight w:val="none"/>
                <w:lang w:val="en-US" w:eastAsia="zh-CN"/>
              </w:rPr>
              <w:t>评标委员会推荐3名中标候选人</w:t>
            </w:r>
          </w:p>
        </w:tc>
      </w:tr>
      <w:tr w14:paraId="7C4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A091FD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907" w:type="pct"/>
            <w:vAlign w:val="center"/>
          </w:tcPr>
          <w:p w14:paraId="307676B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535" w:type="pct"/>
            <w:vAlign w:val="center"/>
          </w:tcPr>
          <w:p w14:paraId="1164323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default" w:ascii="宋体" w:hAnsi="宋体" w:eastAsia="宋体"/>
                <w:b w:val="0"/>
                <w:color w:val="auto"/>
                <w:sz w:val="24"/>
                <w:highlight w:val="none"/>
                <w:lang w:val="en-US"/>
              </w:rPr>
            </w:pPr>
            <w:r>
              <w:rPr>
                <w:rFonts w:hint="eastAsia" w:ascii="宋体" w:hAnsi="宋体" w:eastAsia="宋体" w:cs="宋体"/>
                <w:b w:val="0"/>
                <w:bCs w:val="0"/>
                <w:color w:val="auto"/>
                <w:sz w:val="24"/>
                <w:szCs w:val="24"/>
                <w:highlight w:val="none"/>
                <w:lang w:val="en-US" w:eastAsia="zh-CN"/>
              </w:rPr>
              <w:t>采购人委托评标委员会确定</w:t>
            </w:r>
          </w:p>
        </w:tc>
      </w:tr>
      <w:tr w14:paraId="2E3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CDADC2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907" w:type="pct"/>
            <w:vAlign w:val="center"/>
          </w:tcPr>
          <w:p w14:paraId="06A26B7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535" w:type="pct"/>
            <w:vAlign w:val="center"/>
          </w:tcPr>
          <w:p w14:paraId="349053D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0287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E5128F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907" w:type="pct"/>
            <w:vAlign w:val="center"/>
          </w:tcPr>
          <w:p w14:paraId="7C3B475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535" w:type="pct"/>
            <w:vAlign w:val="center"/>
          </w:tcPr>
          <w:p w14:paraId="00A0F8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19E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377E577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907" w:type="pct"/>
            <w:vAlign w:val="center"/>
          </w:tcPr>
          <w:p w14:paraId="7517464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535" w:type="pct"/>
            <w:vAlign w:val="center"/>
          </w:tcPr>
          <w:p w14:paraId="3E06C6A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316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7" w:type="pct"/>
            <w:vAlign w:val="center"/>
          </w:tcPr>
          <w:p w14:paraId="2AB2D0C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907" w:type="pct"/>
            <w:vAlign w:val="center"/>
          </w:tcPr>
          <w:p w14:paraId="1B67911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履约保证金</w:t>
            </w:r>
          </w:p>
        </w:tc>
        <w:tc>
          <w:tcPr>
            <w:tcW w:w="3535" w:type="pct"/>
            <w:vAlign w:val="center"/>
          </w:tcPr>
          <w:p w14:paraId="48B96AB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bCs/>
                <w:color w:val="auto"/>
                <w:kern w:val="0"/>
                <w:sz w:val="24"/>
                <w:szCs w:val="24"/>
                <w:highlight w:val="none"/>
              </w:rPr>
            </w:pPr>
            <w:r>
              <w:rPr>
                <w:rFonts w:hint="eastAsia" w:ascii="宋体" w:hAnsi="宋体" w:eastAsia="宋体"/>
                <w:b w:val="0"/>
                <w:color w:val="auto"/>
                <w:sz w:val="24"/>
                <w:highlight w:val="none"/>
                <w:lang w:val="en-US" w:eastAsia="zh-CN"/>
              </w:rPr>
              <w:t>免收</w:t>
            </w:r>
          </w:p>
        </w:tc>
      </w:tr>
      <w:tr w14:paraId="7BB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7" w:type="pct"/>
            <w:vAlign w:val="center"/>
          </w:tcPr>
          <w:p w14:paraId="7CECA67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907" w:type="pct"/>
            <w:vAlign w:val="center"/>
          </w:tcPr>
          <w:p w14:paraId="70B1763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535" w:type="pct"/>
            <w:vAlign w:val="top"/>
          </w:tcPr>
          <w:p w14:paraId="22521B2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1F476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E5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2E7240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907" w:type="pct"/>
            <w:vAlign w:val="center"/>
          </w:tcPr>
          <w:p w14:paraId="543F1B3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代理费及专家评审费</w:t>
            </w:r>
          </w:p>
        </w:tc>
        <w:tc>
          <w:tcPr>
            <w:tcW w:w="3535" w:type="pct"/>
            <w:vAlign w:val="center"/>
          </w:tcPr>
          <w:p w14:paraId="503366C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outlineLvl w:val="9"/>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default" w:ascii="宋体" w:hAnsi="宋体" w:eastAsia="宋体" w:cs="宋体"/>
                <w:color w:val="auto"/>
                <w:spacing w:val="14"/>
                <w:sz w:val="24"/>
                <w:szCs w:val="24"/>
                <w:highlight w:val="none"/>
              </w:rPr>
              <w:t>中标人</w:t>
            </w:r>
          </w:p>
          <w:p w14:paraId="320AE677">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6071FB7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代理费2000元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41FC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3499ED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907" w:type="pct"/>
            <w:vAlign w:val="center"/>
          </w:tcPr>
          <w:p w14:paraId="637839A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535" w:type="pct"/>
            <w:vAlign w:val="center"/>
          </w:tcPr>
          <w:p w14:paraId="27079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outlineLvl w:val="9"/>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投标人通过书面形式提出，一份质疑函只能针对一个项目提出质疑，且针对同一采购程序环节的质疑应当一次性提出。</w:t>
            </w:r>
          </w:p>
          <w:p w14:paraId="7920868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滁州市机电工程学校或安徽展荣项目管理有限公司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13955009393或15155030510</w:t>
            </w:r>
          </w:p>
          <w:p w14:paraId="0D4A3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滁州市世贸大厦A座17楼</w:t>
            </w:r>
          </w:p>
        </w:tc>
      </w:tr>
      <w:tr w14:paraId="25E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7072D252">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535" w:type="pct"/>
            <w:vAlign w:val="center"/>
          </w:tcPr>
          <w:p w14:paraId="06B01FE4">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18FE9858">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否则经评标委员会一致认定后， 按照无效投标处理。</w:t>
            </w:r>
          </w:p>
        </w:tc>
      </w:tr>
      <w:tr w14:paraId="5C8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5CB4E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b w:val="0"/>
                <w:color w:val="auto"/>
                <w:sz w:val="24"/>
                <w:highlight w:val="none"/>
              </w:rPr>
            </w:pPr>
            <w:r>
              <w:rPr>
                <w:rFonts w:hint="eastAsia" w:ascii="宋体" w:hAnsi="宋体" w:eastAsia="宋体" w:cs="宋体"/>
                <w:b/>
                <w:bCs/>
                <w:color w:val="auto"/>
                <w:sz w:val="24"/>
                <w:szCs w:val="24"/>
                <w:highlight w:val="none"/>
              </w:rPr>
              <w:t>付款方式</w:t>
            </w:r>
          </w:p>
        </w:tc>
        <w:tc>
          <w:tcPr>
            <w:tcW w:w="3535" w:type="pct"/>
            <w:vAlign w:val="center"/>
          </w:tcPr>
          <w:p w14:paraId="20815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bCs/>
                <w:color w:val="auto"/>
                <w:kern w:val="2"/>
                <w:sz w:val="24"/>
                <w:szCs w:val="24"/>
                <w:highlight w:val="none"/>
                <w:lang w:val="en-US" w:eastAsia="zh-CN" w:bidi="ar-SA"/>
              </w:rPr>
              <w:t>每半年支付一次，每半年服务期结束支付上半年的服务费用。</w:t>
            </w:r>
          </w:p>
        </w:tc>
      </w:tr>
      <w:tr w14:paraId="7AD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1C489C2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Cs/>
                <w:color w:val="auto"/>
                <w:kern w:val="2"/>
                <w:highlight w:val="none"/>
                <w:lang w:val="en-US" w:eastAsia="zh-CN"/>
              </w:rPr>
            </w:pPr>
          </w:p>
          <w:p w14:paraId="67022D4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b w:val="0"/>
                <w:color w:val="auto"/>
                <w:sz w:val="24"/>
                <w:highlight w:val="none"/>
                <w:lang w:val="en-US" w:eastAsia="zh-CN"/>
              </w:rPr>
              <w:t>其他内容</w:t>
            </w:r>
          </w:p>
        </w:tc>
        <w:tc>
          <w:tcPr>
            <w:tcW w:w="3535" w:type="pct"/>
            <w:vAlign w:val="center"/>
          </w:tcPr>
          <w:p w14:paraId="6B64A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0D713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FC2F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7933C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18A8FBDD">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50BFF547">
      <w:pPr>
        <w:spacing w:line="360" w:lineRule="auto"/>
        <w:jc w:val="center"/>
        <w:outlineLvl w:val="9"/>
        <w:rPr>
          <w:rFonts w:asciiTheme="minorEastAsia" w:hAnsiTheme="minorEastAsia" w:eastAsiaTheme="minorEastAsia"/>
          <w:b/>
          <w:color w:val="auto"/>
          <w:sz w:val="24"/>
          <w:highlight w:val="none"/>
        </w:rPr>
      </w:pPr>
      <w:bookmarkStart w:id="4" w:name="_Toc14880"/>
      <w:bookmarkStart w:id="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
      <w:bookmarkEnd w:id="5"/>
    </w:p>
    <w:p w14:paraId="15307A5F">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0147D5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.1采购人：是指依法开展采购活动的国家机关、事业单位、团体组织。</w:t>
      </w:r>
    </w:p>
    <w:p w14:paraId="2A1B0796">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66C949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有关部门依法履行与采购活动有关的监督管理职责。</w:t>
      </w:r>
    </w:p>
    <w:p w14:paraId="37F00CD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本项目的投标人须满足以下条件：</w:t>
      </w:r>
    </w:p>
    <w:p w14:paraId="5052B5B8">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具备供应商条件的规定，遵守本项目采购人本级和上级财政部门采购的有关规定。</w:t>
      </w:r>
    </w:p>
    <w:p w14:paraId="5CCB1E7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D16520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AFFDA9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1DF6E73">
      <w:pPr>
        <w:spacing w:line="360" w:lineRule="auto"/>
        <w:ind w:firstLine="437"/>
        <w:outlineLvl w:val="9"/>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DD3B13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5D4653">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10B39BD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685F645">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68CB8267">
      <w:pPr>
        <w:spacing w:line="360" w:lineRule="auto"/>
        <w:ind w:firstLine="435"/>
        <w:outlineLvl w:val="9"/>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7742902B">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242CBDE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8CF292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75C338F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537BA5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25FE5A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A66463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14:paraId="22753CF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1F1303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452824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5E63C6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2D7ED896">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557F331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6.1投标人如对招标文件内容有疑问，可在投标人须知前附表规定的时间及方式提出疑问提交给采购代理机构邮箱。</w:t>
      </w:r>
    </w:p>
    <w:p w14:paraId="7E48B3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6.2采购人可主动地或在答复投标人提出的询问时对招标文件进行澄清与修改。采购代理机构将在滁州市机电工程学校官网以发布更正公告的方式，澄清或修改招标文件，更正公告的内容作为招标文件的组成部分，对投标人起约束作用。投标人应主动上网查询。采购代理机构不承担投标人未及时关注相关信息引发的相关责任。</w:t>
      </w:r>
    </w:p>
    <w:p w14:paraId="752D8299">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152342">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6.4对于没有提出疑问又参与了本项目投标的投标人将被视为完全认同本招标文件（含更正公告的内容）。</w:t>
      </w:r>
    </w:p>
    <w:p w14:paraId="41E0B41E">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CF81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FF331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D3CD2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投标人所投货物及伴随的服务均应符合国家强制性标准。</w:t>
      </w:r>
    </w:p>
    <w:p w14:paraId="427FC3A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0189C2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50A2AF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A11D80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w:t>
      </w:r>
      <w:r>
        <w:rPr>
          <w:rFonts w:hint="eastAsia" w:asciiTheme="minorEastAsia" w:hAnsiTheme="minorEastAsia" w:eastAsiaTheme="minorEastAsia"/>
          <w:color w:val="auto"/>
          <w:sz w:val="24"/>
          <w:highlight w:val="none"/>
          <w:lang w:val="en-US" w:eastAsia="zh-CN"/>
        </w:rPr>
        <w:t>按照</w:t>
      </w:r>
      <w:r>
        <w:rPr>
          <w:rFonts w:asciiTheme="minorEastAsia" w:hAnsiTheme="minorEastAsia" w:eastAsiaTheme="minorEastAsia"/>
          <w:color w:val="auto"/>
          <w:sz w:val="24"/>
          <w:highlight w:val="none"/>
        </w:rPr>
        <w:t>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4781B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004FEE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38DCE89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9443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50A3C1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C389C4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80119AE">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CB56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288D25D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B366C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DDAE29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93FE3A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F3EDDC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FA125C7">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CD857E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12.投标文件</w:t>
      </w:r>
    </w:p>
    <w:p w14:paraId="4EF07E76">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12.1投标文件份数</w:t>
      </w:r>
    </w:p>
    <w:p w14:paraId="5440D4EF">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12.1.1投标文件份数要求见投标人须知前附表规定。</w:t>
      </w:r>
    </w:p>
    <w:p w14:paraId="732EF492">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12.2投标文件装订</w:t>
      </w:r>
    </w:p>
    <w:p w14:paraId="473E0CF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应按A4纸大小进行装订，对于较大图、表，可采用A3纸，但需要按A4纸大小进行折叠、装订，资信证明文件、技术标、商务标应当分别装订。投标文件的正本与副本应分别装订成册,具体装订要求见投标人须知前附表规定。</w:t>
      </w:r>
    </w:p>
    <w:p w14:paraId="095D2AB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12.3</w:t>
      </w:r>
      <w:r>
        <w:rPr>
          <w:rFonts w:hint="eastAsia" w:ascii="宋体" w:hAnsi="宋体" w:eastAsia="宋体" w:cs="@仿宋_GB2312"/>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投标文件的密封和标记</w:t>
      </w:r>
    </w:p>
    <w:p w14:paraId="0089743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12.3.1 投标文件应进行包装、加贴封条，并在封套的封口处加盖投标人单位章。</w:t>
      </w:r>
    </w:p>
    <w:p w14:paraId="64DC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12.3.2 投标文件封套上应写明的内容及具体密封要求见投标人须知前附表。</w:t>
      </w:r>
    </w:p>
    <w:p w14:paraId="00DF4B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12.3.未按本章第12.3.1项或12.3.2项要求密封和加写标记的投标文件，采购人应予拒收。</w:t>
      </w:r>
    </w:p>
    <w:p w14:paraId="0510281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4投标文件的递交、修改与撤回</w:t>
      </w:r>
    </w:p>
    <w:p w14:paraId="55160CE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12.2.1投标人应当在招标公告规定的投标截止时间前递交投标文件。</w:t>
      </w:r>
    </w:p>
    <w:p w14:paraId="2623DEA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12.2.2投标人应当在投标截止时间前完成投标文件的递交，并可以补充、修改或者撤回投标文件。投标截止时间前未完成投标文件递交的，视为撤回投标文件。未按规定投标截止时间后送达的投标文件，应当拒收。</w:t>
      </w:r>
    </w:p>
    <w:p w14:paraId="2B6D46C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12.2.3投标人对投标文件的补充、修改，应按本须知第12.1条、第12.2条和第12.3条有关规定密封、标记和提交，并在投标文件密封袋上清楚标明“补充”、“修改”字样。</w:t>
      </w:r>
    </w:p>
    <w:p w14:paraId="0879B98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12.2.4</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在投标截止时间之后，投标人不得补充、修改投标文件。</w:t>
      </w:r>
    </w:p>
    <w:p w14:paraId="2AB738B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12.2.5</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投标截止时间之后，投标文件不得撤回；如果撤回的，投标保证金不予退还。</w:t>
      </w:r>
    </w:p>
    <w:p w14:paraId="68AD784C">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开标</w:t>
      </w:r>
    </w:p>
    <w:p w14:paraId="4B9382B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1开标时，各投标人代表对各投标文件进行密封检查。</w:t>
      </w:r>
      <w:r>
        <w:rPr>
          <w:rFonts w:hint="eastAsia" w:ascii="宋体" w:hAnsi="宋体" w:eastAsia="宋体" w:cs="宋体"/>
          <w:b/>
          <w:bCs/>
          <w:color w:val="auto"/>
          <w:kern w:val="2"/>
          <w:sz w:val="24"/>
          <w:szCs w:val="24"/>
          <w:highlight w:val="none"/>
          <w:lang w:val="en-US" w:eastAsia="zh-CN" w:bidi="ar"/>
        </w:rPr>
        <w:t>法定代表人参加开标会议，应携带本人身份证；委托代理人参加开标会议应携带法定代表人授权书和本人身份证。</w:t>
      </w:r>
    </w:p>
    <w:p w14:paraId="3EB4F7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2开标时，采购代理机构公布开标结果，公布内容包括投标人名称、投标价格及招标文件规定的内容。</w:t>
      </w:r>
    </w:p>
    <w:p w14:paraId="48E0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13.3采购人或采购代理机构将对开标过程进行记录，由参加开标的各投标人代表和相关工作人员签字确认，并存档备查。</w:t>
      </w:r>
    </w:p>
    <w:p w14:paraId="1F0A60B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投标人未派代表参加开标的，视同投标人认可开标结果。</w:t>
      </w:r>
    </w:p>
    <w:p w14:paraId="7BEFD0B6">
      <w:pPr>
        <w:keepNext w:val="0"/>
        <w:keepLines w:val="0"/>
        <w:widowControl w:val="0"/>
        <w:suppressLineNumbers w:val="0"/>
        <w:spacing w:before="0" w:beforeAutospacing="0" w:after="0" w:afterAutospacing="0"/>
        <w:ind w:left="0" w:right="0"/>
        <w:jc w:val="both"/>
        <w:outlineLvl w:val="9"/>
        <w:rPr>
          <w:color w:val="auto"/>
          <w:highlight w:val="none"/>
        </w:rPr>
      </w:pPr>
      <w:r>
        <w:rPr>
          <w:rFonts w:hint="eastAsia" w:ascii="宋体" w:hAnsi="宋体" w:eastAsia="宋体" w:cs="宋体"/>
          <w:color w:val="auto"/>
          <w:kern w:val="2"/>
          <w:sz w:val="24"/>
          <w:szCs w:val="24"/>
          <w:highlight w:val="none"/>
          <w:lang w:val="en-US" w:eastAsia="zh-CN" w:bidi="ar"/>
        </w:rPr>
        <w:t>13.4投标人代表对开标过程和开标记录有疑义，以及认为采购人、采购代理机构相关工作人员有需要回避的情形的，应当场提出询问或者回避申请。</w:t>
      </w:r>
    </w:p>
    <w:p w14:paraId="561C91E0">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75F67B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3FECE29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14C24BF">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15.1符合性审查是指依据招标文件的规定，从投标文件的有效性和完整性对招标文件的响应程度进行审查，以确定是否对招标文件的实质性要求做出响应。</w:t>
      </w:r>
    </w:p>
    <w:p w14:paraId="6E550632">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15.2投标文件的澄清</w:t>
      </w:r>
    </w:p>
    <w:p w14:paraId="287259F1">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6AC5923">
      <w:pPr>
        <w:spacing w:line="360" w:lineRule="auto"/>
        <w:ind w:firstLine="437"/>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投标人未派代表参加开标的或投标人授权代表联系不上等情形而无法接受评标委员会询标的，投标人自行承担相关风险。</w:t>
      </w:r>
    </w:p>
    <w:p w14:paraId="34EEB155">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15.2.2投标人的澄清、说明或补正将作为投标文件的一部分。</w:t>
      </w:r>
    </w:p>
    <w:p w14:paraId="7BC4C169">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15.2.3评标委员会对投标人提交的澄清、说明或补正有疑问的，可以要求投标人进一步澄清、说明或补正，直至满足评标委员会的要求。</w:t>
      </w:r>
    </w:p>
    <w:p w14:paraId="776A9164">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15.3投标文件报价出现前后不一致的，按照下列规定修正：</w:t>
      </w:r>
    </w:p>
    <w:p w14:paraId="10258F87">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（1）投标文件中开标一览表内容与投标文件中相应内容不一致的，以开标一览表为准；</w:t>
      </w:r>
    </w:p>
    <w:p w14:paraId="71D0802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（2）大写金额和小写金额不一致的，以大写金额为准；</w:t>
      </w:r>
    </w:p>
    <w:p w14:paraId="72909B4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（3）单价金额小数点或者百分比有明显错位的，以开标一览表的总价为准，并修改单价；</w:t>
      </w:r>
    </w:p>
    <w:p w14:paraId="458618D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（4）总价金额与按单价汇总金额不一致的，以单价金额计算结果为准。</w:t>
      </w:r>
    </w:p>
    <w:p w14:paraId="2A1379FB">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同时出现两种以上不一致的，按照前款规定的顺序修正。修正后的报价按照第15.4条的规定经投标人确认后产生约束力，投标人不确认的，其投标将被认定为</w:t>
      </w:r>
      <w:r>
        <w:rPr>
          <w:rFonts w:hint="eastAsia" w:asciiTheme="minorEastAsia" w:hAnsiTheme="minorEastAsia" w:eastAsiaTheme="minorEastAsia"/>
          <w:b/>
          <w:bCs/>
          <w:color w:val="auto"/>
          <w:sz w:val="24"/>
          <w:highlight w:val="none"/>
          <w:lang w:val="en-US" w:eastAsia="zh-CN"/>
        </w:rPr>
        <w:t>投标无效</w:t>
      </w:r>
      <w:r>
        <w:rPr>
          <w:rFonts w:hint="eastAsia" w:asciiTheme="minorEastAsia" w:hAnsiTheme="minorEastAsia" w:eastAsiaTheme="minorEastAsia"/>
          <w:color w:val="auto"/>
          <w:sz w:val="24"/>
          <w:highlight w:val="none"/>
          <w:lang w:val="en-US" w:eastAsia="zh-CN"/>
        </w:rPr>
        <w:t>。</w:t>
      </w:r>
    </w:p>
    <w:p w14:paraId="1C38EB3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对不同文字文本投标文件的解释发生异议的，以中文文本为准。</w:t>
      </w:r>
    </w:p>
    <w:p w14:paraId="47A2F2E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82F532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945D4B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870AE1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3516B0F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72714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D4978C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08AC58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960F8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3201D7F">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8B97F2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C0BE6D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830B3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466D7C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BD7ED4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18C205A">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E1FC4C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8A37E3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782831">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5D283B2">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B16AD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4E2139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A7C52B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F283EE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采购监督管理部门</w:t>
      </w:r>
      <w:r>
        <w:rPr>
          <w:rFonts w:hint="eastAsia" w:asciiTheme="minorEastAsia" w:hAnsiTheme="minorEastAsia" w:eastAsiaTheme="minorEastAsia"/>
          <w:color w:val="auto"/>
          <w:sz w:val="24"/>
          <w:highlight w:val="none"/>
        </w:rPr>
        <w:t>批准。</w:t>
      </w:r>
    </w:p>
    <w:p w14:paraId="1A738F0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07D8BD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B56C080">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FB5611B">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527DDA4">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34CC528">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71BACCFE">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2CAECDB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08E640F">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C65CB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FB0FFF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DD43CE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编写评标报告</w:t>
      </w:r>
    </w:p>
    <w:p w14:paraId="76EFFD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52E88DF">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中标结果公告</w:t>
      </w:r>
    </w:p>
    <w:p w14:paraId="5F3C6AF0">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除</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规定由评标委员会直接确定中标人外，在评标结束后</w:t>
      </w:r>
      <w:r>
        <w:rPr>
          <w:rFonts w:hint="eastAsia" w:ascii="宋体" w:hAnsi="宋体" w:eastAsia="宋体" w:cs="@仿宋_GB2312"/>
          <w:color w:val="auto"/>
          <w:kern w:val="2"/>
          <w:sz w:val="24"/>
          <w:szCs w:val="24"/>
          <w:highlight w:val="none"/>
          <w:lang w:val="en-US" w:eastAsia="zh-CN" w:bidi="ar"/>
        </w:rPr>
        <w:t>2个工作日内</w:t>
      </w:r>
      <w:r>
        <w:rPr>
          <w:rFonts w:hint="eastAsia" w:ascii="宋体" w:hAnsi="宋体" w:eastAsia="宋体" w:cs="宋体"/>
          <w:color w:val="auto"/>
          <w:kern w:val="2"/>
          <w:sz w:val="24"/>
          <w:szCs w:val="24"/>
          <w:highlight w:val="none"/>
          <w:lang w:val="en-US" w:eastAsia="zh-CN" w:bidi="ar"/>
        </w:rPr>
        <w:t>，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2FD96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自中标人确定之日起2个工作日内，采购人将在滁州市机电工程学校官网（http://www.cztc.edu.cn/）上发布中标结果公告。</w:t>
      </w:r>
    </w:p>
    <w:p w14:paraId="405E658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23.3中标结果公告内容应当包括采购人及其委托的采购代理机构的名称、地址、联系方式，项目名称和项目编号，中标人名称、地址和中标金额，主要中标标的</w:t>
      </w:r>
      <w:r>
        <w:rPr>
          <w:rFonts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规格型号、数量、单价</w:t>
      </w:r>
      <w:r>
        <w:rPr>
          <w:rFonts w:hint="eastAsia" w:ascii="宋体" w:hAnsi="宋体" w:eastAsia="宋体" w:cs="宋体"/>
          <w:color w:val="auto"/>
          <w:kern w:val="2"/>
          <w:sz w:val="24"/>
          <w:szCs w:val="24"/>
          <w:highlight w:val="none"/>
          <w:lang w:val="en-US" w:eastAsia="zh-CN" w:bidi="ar"/>
        </w:rPr>
        <w:t>，中标公告期限以及投标人须知前附表中约定进行公告的内容。中标公告期限为</w:t>
      </w:r>
      <w:r>
        <w:rPr>
          <w:rFonts w:hint="eastAsia" w:ascii="宋体" w:hAnsi="宋体" w:eastAsia="宋体" w:cs="@仿宋_GB2312"/>
          <w:color w:val="auto"/>
          <w:kern w:val="2"/>
          <w:sz w:val="24"/>
          <w:szCs w:val="24"/>
          <w:highlight w:val="none"/>
          <w:lang w:val="en-US" w:eastAsia="zh-CN" w:bidi="ar"/>
        </w:rPr>
        <w:t>1个工作日。</w:t>
      </w:r>
    </w:p>
    <w:p w14:paraId="18A0D19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24</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中标通知书</w:t>
      </w:r>
    </w:p>
    <w:p w14:paraId="0ED8DE8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.1采购代理机构</w:t>
      </w:r>
      <w:r>
        <w:rPr>
          <w:rFonts w:hint="eastAsia" w:ascii="宋体" w:hAnsi="宋体" w:eastAsia="宋体" w:cs="宋体"/>
          <w:color w:val="auto"/>
          <w:kern w:val="2"/>
          <w:sz w:val="24"/>
          <w:szCs w:val="24"/>
          <w:highlight w:val="none"/>
          <w:lang w:val="en-US" w:eastAsia="zh-CN" w:bidi="ar"/>
        </w:rPr>
        <w:t>发布中标结果公告</w:t>
      </w:r>
      <w:r>
        <w:rPr>
          <w:rFonts w:hint="eastAsia" w:ascii="宋体" w:hAnsi="宋体" w:eastAsia="宋体" w:cs="宋体"/>
          <w:iCs/>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lang w:val="en-US" w:eastAsia="zh-CN" w:bidi="ar"/>
        </w:rPr>
        <w:t>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规定的形式向中标人发出中标通知书。</w:t>
      </w:r>
    </w:p>
    <w:p w14:paraId="1382BC4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.2中标通知书对采购人和中标</w:t>
      </w:r>
      <w:r>
        <w:rPr>
          <w:rFonts w:hint="eastAsia" w:ascii="宋体" w:hAnsi="宋体" w:eastAsia="宋体" w:cs="宋体"/>
          <w:color w:val="auto"/>
          <w:kern w:val="2"/>
          <w:sz w:val="24"/>
          <w:szCs w:val="24"/>
          <w:highlight w:val="none"/>
          <w:lang w:val="en-US" w:eastAsia="zh-CN" w:bidi="ar"/>
        </w:rPr>
        <w:t>人具有同等法律效力。中标通知书发出以后，采购人改变中标结果或者中标人放弃中标，应当承担相应的法律责任。</w:t>
      </w:r>
    </w:p>
    <w:p w14:paraId="386D1F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.3中标通知书是</w:t>
      </w:r>
      <w:r>
        <w:rPr>
          <w:rFonts w:hint="eastAsia" w:ascii="宋体" w:hAnsi="宋体" w:eastAsia="宋体" w:cs="宋体"/>
          <w:color w:val="auto"/>
          <w:kern w:val="2"/>
          <w:sz w:val="24"/>
          <w:szCs w:val="24"/>
          <w:highlight w:val="none"/>
          <w:lang w:val="en-US" w:eastAsia="zh-CN" w:bidi="ar"/>
        </w:rPr>
        <w:t>合同的组成部分。</w:t>
      </w:r>
    </w:p>
    <w:p w14:paraId="57AD1651">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25</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告知招标结果</w:t>
      </w:r>
    </w:p>
    <w:p w14:paraId="3E0DC2E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25</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在公告中标结果的同时，采购代理机构同时以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规定的形式告知未通过资格审查的投标人未通过的原因；采用综合评分法评审的，还将告知未中标人本人的评审得分和排序。</w:t>
      </w:r>
    </w:p>
    <w:p w14:paraId="52D52BD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26</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履约保证金（本项目不采用）</w:t>
      </w:r>
    </w:p>
    <w:p w14:paraId="01F55A0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26.1中标人应按照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规定缴纳履约保证金。</w:t>
      </w:r>
    </w:p>
    <w:p w14:paraId="3C4697BA">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如果中标人没有按照上述履约保证金的规定执行，将视为放弃中标资格。在此情况下，采购人可确定下一中标候选人为中标人，也可以重新开展采购活动。</w:t>
      </w:r>
    </w:p>
    <w:p w14:paraId="6ADD1DB9">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27</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签订合同</w:t>
      </w:r>
    </w:p>
    <w:p w14:paraId="31EEB0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27.1采购人与中标人应当按照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规定的时间内完成政府采购合同签订及合同公告。</w:t>
      </w:r>
    </w:p>
    <w:p w14:paraId="3398324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27.2招标文件、中标人的投标文件及其澄清文件等，均为签订合同的依据。</w:t>
      </w:r>
    </w:p>
    <w:p w14:paraId="484853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27.3中标人拒绝与采购人签订合同的，采购人可以按照评审报告推荐的中标候选人名单排序，确定下一中标候选人为中标人，也可以重新开展采购活动。</w:t>
      </w:r>
    </w:p>
    <w:p w14:paraId="6A3398B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代理费用</w:t>
      </w:r>
    </w:p>
    <w:p w14:paraId="0D15334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28</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本项目代理费用的收取按</w:t>
      </w:r>
      <w:r>
        <w:rPr>
          <w:rFonts w:hint="eastAsia" w:ascii="宋体" w:hAnsi="宋体" w:eastAsia="宋体" w:cs="宋体"/>
          <w:color w:val="auto"/>
          <w:kern w:val="2"/>
          <w:sz w:val="24"/>
          <w:szCs w:val="24"/>
          <w:highlight w:val="none"/>
          <w:u w:val="single"/>
          <w:lang w:val="en-US" w:eastAsia="zh-CN" w:bidi="ar"/>
        </w:rPr>
        <w:t>投标人须知前附表的</w:t>
      </w:r>
      <w:r>
        <w:rPr>
          <w:rFonts w:hint="eastAsia" w:ascii="宋体" w:hAnsi="宋体" w:eastAsia="宋体" w:cs="宋体"/>
          <w:color w:val="auto"/>
          <w:kern w:val="2"/>
          <w:sz w:val="24"/>
          <w:szCs w:val="24"/>
          <w:highlight w:val="none"/>
          <w:lang w:val="en-US" w:eastAsia="zh-CN" w:bidi="ar"/>
        </w:rPr>
        <w:t>规定执行。</w:t>
      </w:r>
    </w:p>
    <w:p w14:paraId="1EB490A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29.廉洁自律规定</w:t>
      </w:r>
    </w:p>
    <w:p w14:paraId="24A1BF3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29.1采购代理机构工作人员不得以不正当手段获取政府采购代理业务，不得与采购人、供应商恶意串通。</w:t>
      </w:r>
    </w:p>
    <w:p w14:paraId="500631D1">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采购代理机构工作人员不得接受采购人或者供应商组织的宴请、旅游、娱乐，不得收受礼品、现金、有价证券等，不得向采购人或者供应商报销应当由个人承担的费用。</w:t>
      </w:r>
    </w:p>
    <w:p w14:paraId="3112B2A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30.人员回避</w:t>
      </w:r>
    </w:p>
    <w:p w14:paraId="3020C46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投标人认为采购人员及其相关人员有法律法规所列与其他供应商有利害关系的，可以向采购人或采购代理机构书面提出回避申请，并说明理由。</w:t>
      </w:r>
    </w:p>
    <w:p w14:paraId="69675D4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31</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质疑的提出与接收</w:t>
      </w:r>
    </w:p>
    <w:p w14:paraId="646F6CD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31.1投标人认为招标文件、招标过程和中标结果使自己的权益受到损害的，可以在知道或者应知其权益受到损害之日起七个工作日内，以书面形式向采购人或其委托的采购代理机构提出质疑。</w:t>
      </w:r>
    </w:p>
    <w:p w14:paraId="2389718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787943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31.3采购代理机构质疑函接收部门、联系电话和通讯地址，见</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w:t>
      </w:r>
    </w:p>
    <w:p w14:paraId="6076C049">
      <w:pPr>
        <w:widowControl/>
        <w:jc w:val="left"/>
        <w:outlineLvl w:val="9"/>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9AC9E3">
      <w:pPr>
        <w:spacing w:line="360" w:lineRule="auto"/>
        <w:jc w:val="center"/>
        <w:outlineLvl w:val="0"/>
        <w:rPr>
          <w:rFonts w:hint="eastAsia" w:asciiTheme="minorEastAsia" w:hAnsiTheme="minorEastAsia" w:eastAsiaTheme="minorEastAsia"/>
          <w:b/>
          <w:color w:val="auto"/>
          <w:sz w:val="28"/>
          <w:highlight w:val="none"/>
          <w:lang w:eastAsia="zh-CN"/>
        </w:rPr>
      </w:pPr>
      <w:bookmarkStart w:id="6" w:name="_Toc23609"/>
      <w:r>
        <w:rPr>
          <w:rFonts w:hint="eastAsia" w:asciiTheme="minorEastAsia" w:hAnsiTheme="minorEastAsia" w:eastAsiaTheme="minorEastAsia"/>
          <w:b/>
          <w:color w:val="auto"/>
          <w:sz w:val="28"/>
          <w:highlight w:val="none"/>
        </w:rPr>
        <w:t>第三章  采购需求</w:t>
      </w:r>
      <w:bookmarkEnd w:id="6"/>
    </w:p>
    <w:p w14:paraId="52A7860D">
      <w:pPr>
        <w:spacing w:line="360" w:lineRule="auto"/>
        <w:ind w:firstLine="437"/>
        <w:outlineLvl w:val="9"/>
        <w:rPr>
          <w:rFonts w:ascii="宋体" w:hAnsi="宋体" w:eastAsia="宋体"/>
          <w:b w:val="0"/>
          <w:bCs/>
          <w:color w:val="auto"/>
          <w:sz w:val="24"/>
          <w:szCs w:val="18"/>
          <w:highlight w:val="none"/>
        </w:rPr>
      </w:pPr>
      <w:r>
        <w:rPr>
          <w:rFonts w:hint="eastAsia" w:ascii="宋体" w:hAnsi="宋体" w:eastAsia="宋体"/>
          <w:b w:val="0"/>
          <w:bCs/>
          <w:color w:val="auto"/>
          <w:sz w:val="24"/>
          <w:szCs w:val="18"/>
          <w:highlight w:val="none"/>
        </w:rPr>
        <w:t>滁州市机电工程学校校医院服务项目，服务期三年（本项目一招三年，合同每年一签，每年年终甲方组织对乙方考核，满意度在60％以下，合同不再续签），</w:t>
      </w:r>
      <w:r>
        <w:rPr>
          <w:rFonts w:hint="eastAsia" w:ascii="宋体" w:hAnsi="宋体" w:eastAsia="宋体"/>
          <w:b w:val="0"/>
          <w:bCs/>
          <w:color w:val="auto"/>
          <w:sz w:val="24"/>
          <w:szCs w:val="18"/>
          <w:highlight w:val="none"/>
          <w:lang w:val="en-US" w:eastAsia="zh-CN"/>
        </w:rPr>
        <w:t>预算金额</w:t>
      </w:r>
      <w:r>
        <w:rPr>
          <w:rFonts w:hint="eastAsia" w:ascii="宋体" w:hAnsi="宋体" w:eastAsia="宋体"/>
          <w:b w:val="0"/>
          <w:bCs/>
          <w:color w:val="auto"/>
          <w:sz w:val="24"/>
          <w:szCs w:val="18"/>
          <w:highlight w:val="none"/>
        </w:rPr>
        <w:t>每年</w:t>
      </w:r>
      <w:r>
        <w:rPr>
          <w:rFonts w:hint="eastAsia" w:ascii="宋体" w:hAnsi="宋体" w:eastAsia="宋体"/>
          <w:b w:val="0"/>
          <w:bCs/>
          <w:color w:val="auto"/>
          <w:sz w:val="24"/>
          <w:szCs w:val="18"/>
          <w:highlight w:val="none"/>
          <w:lang w:val="en-US" w:eastAsia="zh-CN"/>
        </w:rPr>
        <w:t>13</w:t>
      </w:r>
      <w:r>
        <w:rPr>
          <w:rFonts w:hint="eastAsia" w:ascii="宋体" w:hAnsi="宋体" w:eastAsia="宋体"/>
          <w:b w:val="0"/>
          <w:bCs/>
          <w:color w:val="auto"/>
          <w:sz w:val="24"/>
          <w:szCs w:val="18"/>
          <w:highlight w:val="none"/>
        </w:rPr>
        <w:t>万元，详见投标人须知前附表。</w:t>
      </w:r>
    </w:p>
    <w:p w14:paraId="31BFF0CD">
      <w:pPr>
        <w:pStyle w:val="30"/>
        <w:outlineLvl w:val="9"/>
        <w:rPr>
          <w:rFonts w:ascii="宋体" w:hAnsi="宋体" w:eastAsia="宋体"/>
          <w:bCs/>
          <w:color w:val="auto"/>
          <w:sz w:val="24"/>
          <w:szCs w:val="18"/>
          <w:highlight w:val="none"/>
        </w:rPr>
      </w:pPr>
    </w:p>
    <w:p w14:paraId="49F47593">
      <w:pPr>
        <w:pStyle w:val="30"/>
        <w:outlineLvl w:val="9"/>
        <w:rPr>
          <w:rFonts w:ascii="宋体" w:hAnsi="宋体" w:eastAsia="宋体"/>
          <w:bCs/>
          <w:color w:val="auto"/>
          <w:sz w:val="24"/>
          <w:szCs w:val="18"/>
          <w:highlight w:val="none"/>
        </w:rPr>
      </w:pPr>
    </w:p>
    <w:p w14:paraId="4C1359B7">
      <w:pPr>
        <w:pStyle w:val="30"/>
        <w:outlineLvl w:val="9"/>
        <w:rPr>
          <w:rFonts w:ascii="宋体" w:hAnsi="宋体" w:eastAsia="宋体"/>
          <w:bCs/>
          <w:color w:val="auto"/>
          <w:sz w:val="24"/>
          <w:szCs w:val="18"/>
          <w:highlight w:val="none"/>
        </w:rPr>
      </w:pPr>
    </w:p>
    <w:p w14:paraId="310BDFA9">
      <w:pPr>
        <w:pStyle w:val="30"/>
        <w:outlineLvl w:val="9"/>
        <w:rPr>
          <w:rFonts w:ascii="宋体" w:hAnsi="宋体" w:eastAsia="宋体"/>
          <w:bCs/>
          <w:color w:val="auto"/>
          <w:sz w:val="24"/>
          <w:szCs w:val="18"/>
          <w:highlight w:val="none"/>
        </w:rPr>
      </w:pPr>
    </w:p>
    <w:p w14:paraId="654B526C">
      <w:pPr>
        <w:pStyle w:val="30"/>
        <w:outlineLvl w:val="9"/>
        <w:rPr>
          <w:rFonts w:ascii="宋体" w:hAnsi="宋体" w:eastAsia="宋体"/>
          <w:bCs/>
          <w:color w:val="auto"/>
          <w:sz w:val="24"/>
          <w:szCs w:val="18"/>
          <w:highlight w:val="none"/>
        </w:rPr>
      </w:pPr>
    </w:p>
    <w:p w14:paraId="1F7B9939">
      <w:pPr>
        <w:pStyle w:val="30"/>
        <w:outlineLvl w:val="9"/>
        <w:rPr>
          <w:rFonts w:ascii="宋体" w:hAnsi="宋体" w:eastAsia="宋体"/>
          <w:bCs/>
          <w:color w:val="auto"/>
          <w:sz w:val="24"/>
          <w:szCs w:val="18"/>
          <w:highlight w:val="none"/>
        </w:rPr>
      </w:pPr>
    </w:p>
    <w:p w14:paraId="2006E13D">
      <w:pPr>
        <w:pStyle w:val="30"/>
        <w:outlineLvl w:val="9"/>
        <w:rPr>
          <w:rFonts w:ascii="宋体" w:hAnsi="宋体" w:eastAsia="宋体"/>
          <w:bCs/>
          <w:color w:val="auto"/>
          <w:sz w:val="24"/>
          <w:szCs w:val="18"/>
          <w:highlight w:val="none"/>
        </w:rPr>
      </w:pPr>
    </w:p>
    <w:p w14:paraId="3A3E4977">
      <w:pPr>
        <w:pStyle w:val="30"/>
        <w:outlineLvl w:val="9"/>
        <w:rPr>
          <w:rFonts w:ascii="宋体" w:hAnsi="宋体" w:eastAsia="宋体"/>
          <w:bCs/>
          <w:color w:val="auto"/>
          <w:sz w:val="24"/>
          <w:szCs w:val="18"/>
          <w:highlight w:val="none"/>
        </w:rPr>
      </w:pPr>
    </w:p>
    <w:p w14:paraId="56B9B749">
      <w:pPr>
        <w:pStyle w:val="30"/>
        <w:outlineLvl w:val="9"/>
        <w:rPr>
          <w:rFonts w:ascii="宋体" w:hAnsi="宋体" w:eastAsia="宋体"/>
          <w:bCs/>
          <w:color w:val="auto"/>
          <w:sz w:val="24"/>
          <w:szCs w:val="18"/>
          <w:highlight w:val="none"/>
        </w:rPr>
      </w:pPr>
    </w:p>
    <w:p w14:paraId="77D8E683">
      <w:pPr>
        <w:pStyle w:val="30"/>
        <w:outlineLvl w:val="9"/>
        <w:rPr>
          <w:rFonts w:ascii="宋体" w:hAnsi="宋体" w:eastAsia="宋体"/>
          <w:bCs/>
          <w:color w:val="auto"/>
          <w:sz w:val="24"/>
          <w:szCs w:val="18"/>
          <w:highlight w:val="none"/>
        </w:rPr>
      </w:pPr>
    </w:p>
    <w:p w14:paraId="3E03480C">
      <w:pPr>
        <w:pStyle w:val="30"/>
        <w:outlineLvl w:val="9"/>
        <w:rPr>
          <w:rFonts w:ascii="宋体" w:hAnsi="宋体" w:eastAsia="宋体"/>
          <w:bCs/>
          <w:color w:val="auto"/>
          <w:sz w:val="24"/>
          <w:szCs w:val="18"/>
          <w:highlight w:val="none"/>
        </w:rPr>
      </w:pPr>
    </w:p>
    <w:p w14:paraId="05BF0C11">
      <w:pPr>
        <w:pStyle w:val="30"/>
        <w:outlineLvl w:val="9"/>
        <w:rPr>
          <w:rFonts w:ascii="宋体" w:hAnsi="宋体" w:eastAsia="宋体"/>
          <w:bCs/>
          <w:color w:val="auto"/>
          <w:sz w:val="24"/>
          <w:szCs w:val="18"/>
          <w:highlight w:val="none"/>
        </w:rPr>
      </w:pPr>
    </w:p>
    <w:p w14:paraId="33B7DA97">
      <w:pPr>
        <w:pStyle w:val="30"/>
        <w:outlineLvl w:val="9"/>
        <w:rPr>
          <w:rFonts w:ascii="宋体" w:hAnsi="宋体" w:eastAsia="宋体"/>
          <w:bCs/>
          <w:color w:val="auto"/>
          <w:sz w:val="24"/>
          <w:szCs w:val="18"/>
          <w:highlight w:val="none"/>
        </w:rPr>
      </w:pPr>
    </w:p>
    <w:p w14:paraId="39CBFED0">
      <w:pPr>
        <w:pStyle w:val="30"/>
        <w:outlineLvl w:val="9"/>
        <w:rPr>
          <w:rFonts w:ascii="宋体" w:hAnsi="宋体" w:eastAsia="宋体"/>
          <w:bCs/>
          <w:color w:val="auto"/>
          <w:sz w:val="24"/>
          <w:szCs w:val="18"/>
          <w:highlight w:val="none"/>
        </w:rPr>
      </w:pPr>
    </w:p>
    <w:p w14:paraId="24004718">
      <w:pPr>
        <w:pStyle w:val="30"/>
        <w:outlineLvl w:val="9"/>
        <w:rPr>
          <w:rFonts w:ascii="宋体" w:hAnsi="宋体" w:eastAsia="宋体"/>
          <w:bCs/>
          <w:color w:val="auto"/>
          <w:sz w:val="24"/>
          <w:szCs w:val="18"/>
          <w:highlight w:val="none"/>
        </w:rPr>
      </w:pPr>
    </w:p>
    <w:p w14:paraId="3CAD941D">
      <w:pPr>
        <w:pStyle w:val="30"/>
        <w:outlineLvl w:val="9"/>
        <w:rPr>
          <w:rFonts w:ascii="宋体" w:hAnsi="宋体" w:eastAsia="宋体"/>
          <w:bCs/>
          <w:color w:val="auto"/>
          <w:sz w:val="24"/>
          <w:szCs w:val="18"/>
          <w:highlight w:val="none"/>
        </w:rPr>
      </w:pPr>
    </w:p>
    <w:p w14:paraId="7E38179B">
      <w:pPr>
        <w:pStyle w:val="30"/>
        <w:outlineLvl w:val="9"/>
        <w:rPr>
          <w:rFonts w:ascii="宋体" w:hAnsi="宋体" w:eastAsia="宋体"/>
          <w:bCs/>
          <w:color w:val="auto"/>
          <w:sz w:val="24"/>
          <w:szCs w:val="18"/>
          <w:highlight w:val="none"/>
        </w:rPr>
      </w:pPr>
    </w:p>
    <w:p w14:paraId="53FC0B0A">
      <w:pPr>
        <w:pStyle w:val="30"/>
        <w:outlineLvl w:val="9"/>
        <w:rPr>
          <w:rFonts w:ascii="宋体" w:hAnsi="宋体" w:eastAsia="宋体"/>
          <w:bCs/>
          <w:color w:val="auto"/>
          <w:sz w:val="24"/>
          <w:szCs w:val="18"/>
          <w:highlight w:val="none"/>
        </w:rPr>
      </w:pPr>
    </w:p>
    <w:p w14:paraId="3C422ECF">
      <w:pPr>
        <w:pStyle w:val="30"/>
        <w:outlineLvl w:val="9"/>
        <w:rPr>
          <w:rFonts w:ascii="宋体" w:hAnsi="宋体" w:eastAsia="宋体"/>
          <w:bCs/>
          <w:color w:val="auto"/>
          <w:sz w:val="24"/>
          <w:szCs w:val="18"/>
          <w:highlight w:val="none"/>
        </w:rPr>
      </w:pPr>
    </w:p>
    <w:p w14:paraId="5D5770DE">
      <w:pPr>
        <w:pStyle w:val="30"/>
        <w:outlineLvl w:val="9"/>
        <w:rPr>
          <w:rFonts w:ascii="宋体" w:hAnsi="宋体" w:eastAsia="宋体"/>
          <w:bCs/>
          <w:color w:val="auto"/>
          <w:sz w:val="24"/>
          <w:szCs w:val="18"/>
          <w:highlight w:val="none"/>
        </w:rPr>
      </w:pPr>
    </w:p>
    <w:p w14:paraId="512DA5B7">
      <w:pPr>
        <w:pStyle w:val="30"/>
        <w:outlineLvl w:val="9"/>
        <w:rPr>
          <w:rFonts w:ascii="宋体" w:hAnsi="宋体" w:eastAsia="宋体"/>
          <w:bCs/>
          <w:color w:val="auto"/>
          <w:sz w:val="24"/>
          <w:szCs w:val="18"/>
          <w:highlight w:val="none"/>
        </w:rPr>
      </w:pPr>
    </w:p>
    <w:p w14:paraId="55BF1603">
      <w:pPr>
        <w:pStyle w:val="30"/>
        <w:outlineLvl w:val="9"/>
        <w:rPr>
          <w:rFonts w:ascii="宋体" w:hAnsi="宋体" w:eastAsia="宋体"/>
          <w:bCs/>
          <w:color w:val="auto"/>
          <w:sz w:val="24"/>
          <w:szCs w:val="18"/>
          <w:highlight w:val="none"/>
        </w:rPr>
      </w:pPr>
    </w:p>
    <w:p w14:paraId="18C495D6">
      <w:pPr>
        <w:pStyle w:val="30"/>
        <w:outlineLvl w:val="9"/>
        <w:rPr>
          <w:rFonts w:ascii="宋体" w:hAnsi="宋体" w:eastAsia="宋体"/>
          <w:bCs/>
          <w:color w:val="auto"/>
          <w:sz w:val="24"/>
          <w:szCs w:val="18"/>
          <w:highlight w:val="none"/>
        </w:rPr>
      </w:pPr>
    </w:p>
    <w:p w14:paraId="749FC651">
      <w:pPr>
        <w:pStyle w:val="30"/>
        <w:outlineLvl w:val="9"/>
        <w:rPr>
          <w:rFonts w:ascii="宋体" w:hAnsi="宋体" w:eastAsia="宋体"/>
          <w:bCs/>
          <w:color w:val="auto"/>
          <w:sz w:val="24"/>
          <w:szCs w:val="18"/>
          <w:highlight w:val="none"/>
        </w:rPr>
      </w:pPr>
    </w:p>
    <w:p w14:paraId="436E243D">
      <w:pPr>
        <w:pStyle w:val="30"/>
        <w:outlineLvl w:val="9"/>
        <w:rPr>
          <w:rFonts w:ascii="宋体" w:hAnsi="宋体" w:eastAsia="宋体"/>
          <w:bCs/>
          <w:color w:val="auto"/>
          <w:sz w:val="24"/>
          <w:szCs w:val="18"/>
          <w:highlight w:val="none"/>
        </w:rPr>
      </w:pPr>
    </w:p>
    <w:p w14:paraId="6EAAC344">
      <w:pPr>
        <w:pStyle w:val="30"/>
        <w:outlineLvl w:val="9"/>
        <w:rPr>
          <w:rFonts w:ascii="宋体" w:hAnsi="宋体" w:eastAsia="宋体"/>
          <w:bCs/>
          <w:color w:val="auto"/>
          <w:sz w:val="24"/>
          <w:szCs w:val="18"/>
          <w:highlight w:val="none"/>
        </w:rPr>
      </w:pPr>
    </w:p>
    <w:p w14:paraId="2B45BA84">
      <w:pPr>
        <w:pStyle w:val="30"/>
        <w:outlineLvl w:val="9"/>
        <w:rPr>
          <w:rFonts w:ascii="宋体" w:hAnsi="宋体" w:eastAsia="宋体"/>
          <w:bCs/>
          <w:color w:val="auto"/>
          <w:sz w:val="24"/>
          <w:szCs w:val="18"/>
          <w:highlight w:val="none"/>
        </w:rPr>
      </w:pPr>
    </w:p>
    <w:p w14:paraId="2E177BC8">
      <w:pPr>
        <w:pStyle w:val="30"/>
        <w:outlineLvl w:val="9"/>
        <w:rPr>
          <w:rFonts w:ascii="宋体" w:hAnsi="宋体" w:eastAsia="宋体"/>
          <w:bCs/>
          <w:color w:val="auto"/>
          <w:sz w:val="24"/>
          <w:szCs w:val="18"/>
          <w:highlight w:val="none"/>
        </w:rPr>
      </w:pPr>
    </w:p>
    <w:p w14:paraId="06AF97DA">
      <w:pPr>
        <w:pStyle w:val="30"/>
        <w:outlineLvl w:val="9"/>
        <w:rPr>
          <w:rFonts w:ascii="宋体" w:hAnsi="宋体" w:eastAsia="宋体"/>
          <w:bCs/>
          <w:color w:val="auto"/>
          <w:sz w:val="24"/>
          <w:szCs w:val="18"/>
          <w:highlight w:val="none"/>
        </w:rPr>
      </w:pPr>
    </w:p>
    <w:p w14:paraId="26A4AEF1">
      <w:pPr>
        <w:pStyle w:val="30"/>
        <w:outlineLvl w:val="9"/>
        <w:rPr>
          <w:rFonts w:ascii="宋体" w:hAnsi="宋体" w:eastAsia="宋体"/>
          <w:bCs/>
          <w:color w:val="auto"/>
          <w:sz w:val="24"/>
          <w:szCs w:val="18"/>
          <w:highlight w:val="none"/>
        </w:rPr>
      </w:pPr>
    </w:p>
    <w:p w14:paraId="00E3E34C">
      <w:pPr>
        <w:pStyle w:val="30"/>
        <w:outlineLvl w:val="9"/>
        <w:rPr>
          <w:rFonts w:ascii="宋体" w:hAnsi="宋体" w:eastAsia="宋体"/>
          <w:bCs/>
          <w:color w:val="auto"/>
          <w:sz w:val="24"/>
          <w:szCs w:val="18"/>
          <w:highlight w:val="none"/>
        </w:rPr>
      </w:pPr>
    </w:p>
    <w:p w14:paraId="6F98AAB2">
      <w:pPr>
        <w:pStyle w:val="30"/>
        <w:outlineLvl w:val="9"/>
        <w:rPr>
          <w:rFonts w:ascii="宋体" w:hAnsi="宋体" w:eastAsia="宋体"/>
          <w:bCs/>
          <w:color w:val="auto"/>
          <w:sz w:val="24"/>
          <w:szCs w:val="18"/>
          <w:highlight w:val="none"/>
        </w:rPr>
      </w:pPr>
    </w:p>
    <w:p w14:paraId="0FF946B6">
      <w:pPr>
        <w:pStyle w:val="30"/>
        <w:outlineLvl w:val="9"/>
        <w:rPr>
          <w:rFonts w:ascii="宋体" w:hAnsi="宋体" w:eastAsia="宋体"/>
          <w:bCs/>
          <w:color w:val="auto"/>
          <w:sz w:val="24"/>
          <w:szCs w:val="18"/>
          <w:highlight w:val="none"/>
        </w:rPr>
      </w:pPr>
    </w:p>
    <w:p w14:paraId="6AF4D6D8">
      <w:pPr>
        <w:pStyle w:val="30"/>
        <w:outlineLvl w:val="9"/>
        <w:rPr>
          <w:rFonts w:ascii="宋体" w:hAnsi="宋体" w:eastAsia="宋体"/>
          <w:bCs/>
          <w:color w:val="auto"/>
          <w:sz w:val="24"/>
          <w:szCs w:val="18"/>
          <w:highlight w:val="none"/>
        </w:rPr>
      </w:pPr>
    </w:p>
    <w:p w14:paraId="70B3D5E2">
      <w:pPr>
        <w:pStyle w:val="30"/>
        <w:outlineLvl w:val="9"/>
        <w:rPr>
          <w:rFonts w:ascii="宋体" w:hAnsi="宋体" w:eastAsia="宋体"/>
          <w:bCs/>
          <w:color w:val="auto"/>
          <w:sz w:val="24"/>
          <w:szCs w:val="18"/>
          <w:highlight w:val="none"/>
        </w:rPr>
      </w:pPr>
    </w:p>
    <w:p w14:paraId="09354B40">
      <w:pPr>
        <w:pStyle w:val="30"/>
        <w:outlineLvl w:val="9"/>
        <w:rPr>
          <w:rFonts w:ascii="宋体" w:hAnsi="宋体" w:eastAsia="宋体"/>
          <w:bCs/>
          <w:color w:val="auto"/>
          <w:sz w:val="24"/>
          <w:szCs w:val="18"/>
          <w:highlight w:val="none"/>
        </w:rPr>
      </w:pPr>
    </w:p>
    <w:p w14:paraId="6F78E41B">
      <w:pPr>
        <w:pStyle w:val="30"/>
        <w:outlineLvl w:val="9"/>
        <w:rPr>
          <w:rFonts w:ascii="宋体" w:hAnsi="宋体" w:eastAsia="宋体"/>
          <w:bCs/>
          <w:color w:val="auto"/>
          <w:sz w:val="24"/>
          <w:szCs w:val="18"/>
          <w:highlight w:val="none"/>
        </w:rPr>
      </w:pPr>
    </w:p>
    <w:p w14:paraId="04FD6248">
      <w:pPr>
        <w:pStyle w:val="30"/>
        <w:outlineLvl w:val="9"/>
        <w:rPr>
          <w:rFonts w:ascii="宋体" w:hAnsi="宋体" w:eastAsia="宋体"/>
          <w:bCs/>
          <w:color w:val="auto"/>
          <w:sz w:val="24"/>
          <w:szCs w:val="18"/>
          <w:highlight w:val="none"/>
        </w:rPr>
      </w:pPr>
    </w:p>
    <w:p w14:paraId="22F00AA6">
      <w:pPr>
        <w:pStyle w:val="30"/>
        <w:outlineLvl w:val="9"/>
        <w:rPr>
          <w:rFonts w:ascii="宋体" w:hAnsi="宋体" w:eastAsia="宋体"/>
          <w:bCs/>
          <w:color w:val="auto"/>
          <w:sz w:val="24"/>
          <w:szCs w:val="18"/>
          <w:highlight w:val="none"/>
        </w:rPr>
      </w:pPr>
    </w:p>
    <w:p w14:paraId="45AF8EBD">
      <w:pPr>
        <w:spacing w:line="360" w:lineRule="auto"/>
        <w:jc w:val="center"/>
        <w:outlineLvl w:val="0"/>
        <w:rPr>
          <w:rFonts w:asciiTheme="minorEastAsia" w:hAnsiTheme="minorEastAsia" w:eastAsiaTheme="minorEastAsia"/>
          <w:b/>
          <w:color w:val="auto"/>
          <w:sz w:val="28"/>
          <w:highlight w:val="none"/>
        </w:rPr>
      </w:pPr>
      <w:bookmarkStart w:id="7" w:name="_Toc4269"/>
      <w:r>
        <w:rPr>
          <w:rFonts w:hint="eastAsia" w:asciiTheme="minorEastAsia" w:hAnsiTheme="minorEastAsia" w:eastAsiaTheme="minorEastAsia"/>
          <w:b/>
          <w:color w:val="auto"/>
          <w:sz w:val="28"/>
          <w:highlight w:val="none"/>
        </w:rPr>
        <w:t>第四章  评标方法和标准（综合评分法）</w:t>
      </w:r>
      <w:bookmarkEnd w:id="7"/>
    </w:p>
    <w:p w14:paraId="793F6ACB">
      <w:pPr>
        <w:spacing w:line="360" w:lineRule="auto"/>
        <w:ind w:firstLine="437"/>
        <w:outlineLvl w:val="9"/>
        <w:rPr>
          <w:rFonts w:asciiTheme="minorEastAsia" w:hAnsiTheme="minorEastAsia" w:eastAsiaTheme="minorEastAsia"/>
          <w:b/>
          <w:color w:val="auto"/>
          <w:sz w:val="24"/>
          <w:highlight w:val="none"/>
        </w:rPr>
      </w:pPr>
      <w:bookmarkStart w:id="8" w:name="_Toc1246"/>
      <w:bookmarkStart w:id="9" w:name="_Toc11823"/>
      <w:r>
        <w:rPr>
          <w:rFonts w:hint="eastAsia" w:asciiTheme="minorEastAsia" w:hAnsiTheme="minorEastAsia" w:eastAsiaTheme="minorEastAsia"/>
          <w:b/>
          <w:color w:val="auto"/>
          <w:sz w:val="24"/>
          <w:highlight w:val="none"/>
        </w:rPr>
        <w:t>一、总则</w:t>
      </w:r>
      <w:bookmarkEnd w:id="8"/>
      <w:bookmarkEnd w:id="9"/>
    </w:p>
    <w:p w14:paraId="7C0FDF3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65894C4">
      <w:pPr>
        <w:spacing w:line="360" w:lineRule="auto"/>
        <w:ind w:firstLine="437"/>
        <w:outlineLvl w:val="9"/>
        <w:rPr>
          <w:rFonts w:asciiTheme="minorEastAsia" w:hAnsiTheme="minorEastAsia" w:eastAsiaTheme="minorEastAsia"/>
          <w:b/>
          <w:color w:val="auto"/>
          <w:sz w:val="24"/>
          <w:highlight w:val="none"/>
        </w:rPr>
      </w:pPr>
      <w:bookmarkStart w:id="10" w:name="_Toc13117"/>
      <w:bookmarkStart w:id="11" w:name="_Toc31871"/>
      <w:r>
        <w:rPr>
          <w:rFonts w:hint="eastAsia" w:asciiTheme="minorEastAsia" w:hAnsiTheme="minorEastAsia" w:eastAsiaTheme="minorEastAsia"/>
          <w:b/>
          <w:color w:val="auto"/>
          <w:sz w:val="24"/>
          <w:highlight w:val="none"/>
        </w:rPr>
        <w:t>二、评标方法</w:t>
      </w:r>
      <w:bookmarkEnd w:id="10"/>
      <w:bookmarkEnd w:id="11"/>
    </w:p>
    <w:p w14:paraId="27BD4193">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02"/>
        <w:gridCol w:w="5196"/>
        <w:gridCol w:w="1679"/>
      </w:tblGrid>
      <w:tr w14:paraId="29B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4C16D55">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D49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78C2A551">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863" w:type="pct"/>
            <w:tcBorders>
              <w:bottom w:val="single" w:color="auto" w:sz="4" w:space="0"/>
            </w:tcBorders>
            <w:vAlign w:val="center"/>
          </w:tcPr>
          <w:p w14:paraId="32E09E35">
            <w:pPr>
              <w:pStyle w:val="34"/>
              <w:pBdr>
                <w:bottom w:val="none" w:color="auto" w:sz="0" w:space="0"/>
              </w:pBdr>
              <w:tabs>
                <w:tab w:val="clear" w:pos="4153"/>
                <w:tab w:val="clear" w:pos="8306"/>
              </w:tabs>
              <w:snapToGrid w:val="0"/>
              <w:spacing w:line="360" w:lineRule="auto"/>
              <w:ind w:right="-10"/>
              <w:outlineLvl w:val="9"/>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800" w:type="pct"/>
            <w:tcBorders>
              <w:bottom w:val="single" w:color="auto" w:sz="4" w:space="0"/>
            </w:tcBorders>
            <w:vAlign w:val="center"/>
          </w:tcPr>
          <w:p w14:paraId="560D7823">
            <w:pPr>
              <w:adjustRightInd w:val="0"/>
              <w:snapToGrid w:val="0"/>
              <w:spacing w:line="360" w:lineRule="auto"/>
              <w:ind w:right="-10"/>
              <w:jc w:val="center"/>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903" w:type="pct"/>
            <w:tcBorders>
              <w:bottom w:val="single" w:color="auto" w:sz="4" w:space="0"/>
            </w:tcBorders>
            <w:vAlign w:val="center"/>
          </w:tcPr>
          <w:p w14:paraId="3105F1EC">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2A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32" w:type="pct"/>
            <w:tcBorders>
              <w:bottom w:val="single" w:color="auto" w:sz="4" w:space="0"/>
            </w:tcBorders>
            <w:vAlign w:val="center"/>
          </w:tcPr>
          <w:p w14:paraId="0CCF781A">
            <w:pPr>
              <w:adjustRightInd w:val="0"/>
              <w:snapToGrid w:val="0"/>
              <w:spacing w:line="360" w:lineRule="auto"/>
              <w:ind w:right="-10" w:rightChars="0"/>
              <w:jc w:val="center"/>
              <w:outlineLvl w:val="9"/>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863" w:type="pct"/>
            <w:tcBorders>
              <w:bottom w:val="single" w:color="auto" w:sz="4" w:space="0"/>
            </w:tcBorders>
            <w:vAlign w:val="center"/>
          </w:tcPr>
          <w:p w14:paraId="0551A1FB">
            <w:pPr>
              <w:spacing w:after="50" w:line="360" w:lineRule="auto"/>
              <w:ind w:right="-10" w:rightChars="0"/>
              <w:jc w:val="center"/>
              <w:outlineLvl w:val="9"/>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800" w:type="pct"/>
            <w:tcBorders>
              <w:bottom w:val="single" w:color="auto" w:sz="4" w:space="0"/>
            </w:tcBorders>
            <w:vAlign w:val="center"/>
          </w:tcPr>
          <w:p w14:paraId="5E8BAC65">
            <w:pPr>
              <w:spacing w:after="50" w:line="360" w:lineRule="auto"/>
              <w:ind w:right="-10" w:rightChars="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3615C6E">
            <w:pPr>
              <w:spacing w:after="50" w:line="360" w:lineRule="auto"/>
              <w:ind w:right="-10" w:rightChars="0"/>
              <w:jc w:val="left"/>
              <w:outlineLvl w:val="9"/>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tc>
        <w:tc>
          <w:tcPr>
            <w:tcW w:w="903" w:type="pct"/>
            <w:vAlign w:val="center"/>
          </w:tcPr>
          <w:p w14:paraId="03F7D485">
            <w:pPr>
              <w:spacing w:line="360" w:lineRule="auto"/>
              <w:jc w:val="left"/>
              <w:outlineLvl w:val="9"/>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499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2" w:type="pct"/>
            <w:tcBorders>
              <w:bottom w:val="single" w:color="auto" w:sz="4" w:space="0"/>
            </w:tcBorders>
            <w:vAlign w:val="center"/>
          </w:tcPr>
          <w:p w14:paraId="7E4449B2">
            <w:pPr>
              <w:adjustRightInd w:val="0"/>
              <w:snapToGrid w:val="0"/>
              <w:spacing w:line="360" w:lineRule="auto"/>
              <w:ind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63" w:type="pct"/>
            <w:tcBorders>
              <w:bottom w:val="single" w:color="auto" w:sz="4" w:space="0"/>
            </w:tcBorders>
            <w:vAlign w:val="center"/>
          </w:tcPr>
          <w:p w14:paraId="5C983F61">
            <w:pPr>
              <w:spacing w:after="50" w:line="360" w:lineRule="auto"/>
              <w:ind w:right="-10" w:rightChars="0"/>
              <w:jc w:val="center"/>
              <w:outlineLvl w:val="9"/>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0" w:type="pct"/>
            <w:tcBorders>
              <w:bottom w:val="single" w:color="auto" w:sz="4" w:space="0"/>
            </w:tcBorders>
            <w:vAlign w:val="center"/>
          </w:tcPr>
          <w:p w14:paraId="5427E299">
            <w:pPr>
              <w:spacing w:after="50" w:line="360" w:lineRule="auto"/>
              <w:ind w:right="-10" w:rightChars="0"/>
              <w:jc w:val="left"/>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903" w:type="pct"/>
            <w:vAlign w:val="center"/>
          </w:tcPr>
          <w:p w14:paraId="225BE4A6">
            <w:pPr>
              <w:spacing w:line="360" w:lineRule="auto"/>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6C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5A9A4B5">
            <w:pPr>
              <w:adjustRightInd w:val="0"/>
              <w:snapToGrid w:val="0"/>
              <w:spacing w:line="360" w:lineRule="auto"/>
              <w:ind w:right="-1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863" w:type="pct"/>
            <w:vAlign w:val="center"/>
          </w:tcPr>
          <w:p w14:paraId="05ACED6A">
            <w:pPr>
              <w:spacing w:after="50" w:line="360" w:lineRule="auto"/>
              <w:ind w:right="-10"/>
              <w:jc w:val="center"/>
              <w:outlineLvl w:val="9"/>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0" w:type="pct"/>
            <w:vAlign w:val="center"/>
          </w:tcPr>
          <w:p w14:paraId="681AE38A">
            <w:pPr>
              <w:spacing w:after="50" w:line="360" w:lineRule="auto"/>
              <w:ind w:right="-10" w:rightChars="0"/>
              <w:jc w:val="left"/>
              <w:outlineLvl w:val="9"/>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903" w:type="pct"/>
            <w:vAlign w:val="center"/>
          </w:tcPr>
          <w:p w14:paraId="52B4BB6D">
            <w:pPr>
              <w:spacing w:line="360" w:lineRule="auto"/>
              <w:jc w:val="left"/>
              <w:outlineLvl w:val="9"/>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32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2D498803">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4</w:t>
            </w:r>
          </w:p>
        </w:tc>
        <w:tc>
          <w:tcPr>
            <w:tcW w:w="863" w:type="pct"/>
            <w:tcBorders>
              <w:bottom w:val="single" w:color="auto" w:sz="4" w:space="0"/>
            </w:tcBorders>
            <w:vAlign w:val="center"/>
          </w:tcPr>
          <w:p w14:paraId="53BA5AAF">
            <w:pPr>
              <w:keepNext w:val="0"/>
              <w:keepLines w:val="0"/>
              <w:suppressLineNumbers w:val="0"/>
              <w:spacing w:before="0" w:beforeAutospacing="0" w:after="50" w:afterAutospacing="0" w:line="360" w:lineRule="auto"/>
              <w:ind w:left="0" w:leftChars="0" w:right="-10" w:rightChars="0"/>
              <w:jc w:val="center"/>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诚信投标承诺书</w:t>
            </w:r>
          </w:p>
        </w:tc>
        <w:tc>
          <w:tcPr>
            <w:tcW w:w="2800" w:type="pct"/>
            <w:tcBorders>
              <w:bottom w:val="single" w:color="auto" w:sz="4" w:space="0"/>
            </w:tcBorders>
            <w:vAlign w:val="center"/>
          </w:tcPr>
          <w:p w14:paraId="2A040809">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olor w:val="auto"/>
                <w:sz w:val="24"/>
                <w:szCs w:val="18"/>
                <w:highlight w:val="none"/>
                <w:lang w:val="en-US" w:eastAsia="zh-CN"/>
              </w:rPr>
              <w:t>提</w:t>
            </w:r>
            <w:r>
              <w:rPr>
                <w:rFonts w:hint="default" w:ascii="宋体" w:hAnsi="宋体" w:eastAsia="宋体"/>
                <w:color w:val="auto"/>
                <w:sz w:val="24"/>
                <w:szCs w:val="18"/>
                <w:highlight w:val="none"/>
              </w:rPr>
              <w:t>供符合招标文件要求的《</w:t>
            </w:r>
            <w:r>
              <w:rPr>
                <w:rFonts w:hint="eastAsia" w:ascii="宋体" w:hAnsi="宋体" w:eastAsia="宋体"/>
                <w:color w:val="auto"/>
                <w:sz w:val="24"/>
                <w:szCs w:val="18"/>
                <w:highlight w:val="none"/>
              </w:rPr>
              <w:t>诚信投标承诺书</w:t>
            </w:r>
            <w:r>
              <w:rPr>
                <w:rFonts w:hint="default" w:ascii="宋体" w:hAnsi="宋体" w:eastAsia="宋体"/>
                <w:color w:val="auto"/>
                <w:sz w:val="24"/>
                <w:szCs w:val="18"/>
                <w:highlight w:val="none"/>
              </w:rPr>
              <w:t>》</w:t>
            </w:r>
            <w:r>
              <w:rPr>
                <w:rFonts w:hint="eastAsia" w:ascii="宋体" w:hAnsi="宋体" w:eastAsia="宋体"/>
                <w:color w:val="auto"/>
                <w:sz w:val="24"/>
                <w:szCs w:val="18"/>
                <w:highlight w:val="none"/>
                <w:lang w:eastAsia="zh-CN"/>
              </w:rPr>
              <w:t>。</w:t>
            </w:r>
          </w:p>
        </w:tc>
        <w:tc>
          <w:tcPr>
            <w:tcW w:w="903" w:type="pct"/>
            <w:tcBorders>
              <w:bottom w:val="single" w:color="auto" w:sz="4" w:space="0"/>
            </w:tcBorders>
            <w:vAlign w:val="center"/>
          </w:tcPr>
          <w:p w14:paraId="2566AC2D">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详见第六章投标文件格式</w:t>
            </w:r>
            <w:r>
              <w:rPr>
                <w:rFonts w:hint="eastAsia" w:ascii="宋体" w:hAnsi="宋体" w:eastAsia="宋体"/>
                <w:color w:val="auto"/>
                <w:sz w:val="24"/>
                <w:szCs w:val="18"/>
                <w:highlight w:val="none"/>
                <w:lang w:eastAsia="zh-CN"/>
              </w:rPr>
              <w:t>。</w:t>
            </w:r>
          </w:p>
        </w:tc>
      </w:tr>
    </w:tbl>
    <w:p w14:paraId="0892EA62">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3CA76C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47AF45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158"/>
        <w:gridCol w:w="3607"/>
        <w:gridCol w:w="2522"/>
      </w:tblGrid>
      <w:tr w14:paraId="6958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1432CE8">
            <w:pPr>
              <w:adjustRightInd w:val="0"/>
              <w:snapToGrid w:val="0"/>
              <w:spacing w:line="360" w:lineRule="auto"/>
              <w:ind w:right="-10"/>
              <w:jc w:val="center"/>
              <w:outlineLvl w:val="9"/>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97D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88" w:type="pct"/>
            <w:tcBorders>
              <w:bottom w:val="single" w:color="auto" w:sz="4" w:space="0"/>
            </w:tcBorders>
            <w:vAlign w:val="center"/>
          </w:tcPr>
          <w:p w14:paraId="225FE6AE">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1175" w:type="pct"/>
            <w:tcBorders>
              <w:bottom w:val="single" w:color="auto" w:sz="4" w:space="0"/>
            </w:tcBorders>
            <w:vAlign w:val="center"/>
          </w:tcPr>
          <w:p w14:paraId="02510A22">
            <w:pPr>
              <w:pStyle w:val="34"/>
              <w:pBdr>
                <w:bottom w:val="none" w:color="auto" w:sz="0" w:space="0"/>
              </w:pBdr>
              <w:tabs>
                <w:tab w:val="clear" w:pos="4153"/>
                <w:tab w:val="clear" w:pos="8306"/>
              </w:tabs>
              <w:snapToGrid w:val="0"/>
              <w:spacing w:line="360" w:lineRule="auto"/>
              <w:ind w:right="-10"/>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64" w:type="pct"/>
            <w:tcBorders>
              <w:bottom w:val="single" w:color="auto" w:sz="4" w:space="0"/>
            </w:tcBorders>
            <w:vAlign w:val="center"/>
          </w:tcPr>
          <w:p w14:paraId="47EA890F">
            <w:pPr>
              <w:adjustRightInd w:val="0"/>
              <w:snapToGrid w:val="0"/>
              <w:spacing w:line="360" w:lineRule="auto"/>
              <w:ind w:right="-10"/>
              <w:jc w:val="center"/>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1" w:type="pct"/>
            <w:tcBorders>
              <w:bottom w:val="single" w:color="auto" w:sz="4" w:space="0"/>
            </w:tcBorders>
            <w:vAlign w:val="center"/>
          </w:tcPr>
          <w:p w14:paraId="6681F58B">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F6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50808954">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75" w:type="pct"/>
            <w:vAlign w:val="center"/>
          </w:tcPr>
          <w:p w14:paraId="3DCF4A0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64" w:type="pct"/>
            <w:vAlign w:val="center"/>
          </w:tcPr>
          <w:p w14:paraId="43ECB741">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736B087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9D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25CB01DC">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75" w:type="pct"/>
            <w:vAlign w:val="center"/>
          </w:tcPr>
          <w:p w14:paraId="44E8DCE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64" w:type="pct"/>
            <w:vAlign w:val="center"/>
          </w:tcPr>
          <w:p w14:paraId="00A2C93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5A5F6DB6">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E80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354C512E">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75" w:type="pct"/>
            <w:vAlign w:val="center"/>
          </w:tcPr>
          <w:p w14:paraId="4BB4DF9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64" w:type="pct"/>
            <w:vAlign w:val="center"/>
          </w:tcPr>
          <w:p w14:paraId="3E2DC76C">
            <w:pPr>
              <w:keepNext w:val="0"/>
              <w:keepLines w:val="0"/>
              <w:suppressLineNumbers w:val="0"/>
              <w:spacing w:before="0" w:beforeAutospacing="0" w:after="50" w:afterAutospacing="0" w:line="360" w:lineRule="auto"/>
              <w:ind w:left="0" w:leftChars="0"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371" w:type="pct"/>
            <w:vAlign w:val="center"/>
          </w:tcPr>
          <w:p w14:paraId="4452C05B">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089C1BBF">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75" w:type="pct"/>
            <w:vAlign w:val="center"/>
          </w:tcPr>
          <w:p w14:paraId="159305FB">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64" w:type="pct"/>
            <w:vAlign w:val="center"/>
          </w:tcPr>
          <w:p w14:paraId="664ABA6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371" w:type="pct"/>
            <w:vAlign w:val="center"/>
          </w:tcPr>
          <w:p w14:paraId="282429B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0F2C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682EC1DF">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75" w:type="pct"/>
            <w:vAlign w:val="center"/>
          </w:tcPr>
          <w:p w14:paraId="3BFDBD65">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64" w:type="pct"/>
            <w:vAlign w:val="center"/>
          </w:tcPr>
          <w:p w14:paraId="6E958628">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71" w:type="pct"/>
            <w:vAlign w:val="center"/>
          </w:tcPr>
          <w:p w14:paraId="29E979E8">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EE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43ABDE93">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175" w:type="pct"/>
            <w:vAlign w:val="center"/>
          </w:tcPr>
          <w:p w14:paraId="5B87CEE1">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964" w:type="pct"/>
            <w:vAlign w:val="center"/>
          </w:tcPr>
          <w:p w14:paraId="6428CF6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371" w:type="pct"/>
            <w:vAlign w:val="center"/>
          </w:tcPr>
          <w:p w14:paraId="374BEDB1">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CCB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1F690C75">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175" w:type="pct"/>
            <w:vAlign w:val="center"/>
          </w:tcPr>
          <w:p w14:paraId="6063A6B4">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964" w:type="pct"/>
            <w:vAlign w:val="center"/>
          </w:tcPr>
          <w:p w14:paraId="49F1CC9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371" w:type="pct"/>
            <w:vAlign w:val="center"/>
          </w:tcPr>
          <w:p w14:paraId="08777ED2">
            <w:pPr>
              <w:adjustRightInd w:val="0"/>
              <w:snapToGrid w:val="0"/>
              <w:spacing w:line="360" w:lineRule="auto"/>
              <w:ind w:right="-10"/>
              <w:jc w:val="center"/>
              <w:outlineLvl w:val="9"/>
              <w:rPr>
                <w:rFonts w:asciiTheme="minorEastAsia" w:hAnsiTheme="minorEastAsia" w:eastAsiaTheme="minorEastAsia"/>
                <w:color w:val="auto"/>
                <w:sz w:val="24"/>
                <w:highlight w:val="none"/>
              </w:rPr>
            </w:pPr>
          </w:p>
        </w:tc>
      </w:tr>
    </w:tbl>
    <w:p w14:paraId="12F8F6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49418D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896D35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7F083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4"/>
        <w:tblW w:w="56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16"/>
        <w:gridCol w:w="5581"/>
        <w:gridCol w:w="1180"/>
      </w:tblGrid>
      <w:tr w14:paraId="5B0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0B8293D1">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92" w:type="pct"/>
            <w:tcBorders>
              <w:top w:val="single" w:color="auto" w:sz="4" w:space="0"/>
              <w:left w:val="single" w:color="auto" w:sz="4" w:space="0"/>
              <w:bottom w:val="single" w:color="auto" w:sz="4" w:space="0"/>
              <w:right w:val="single" w:color="auto" w:sz="4" w:space="0"/>
            </w:tcBorders>
            <w:vAlign w:val="center"/>
          </w:tcPr>
          <w:p w14:paraId="4952CED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16" w:type="pct"/>
            <w:tcBorders>
              <w:top w:val="single" w:color="auto" w:sz="4" w:space="0"/>
              <w:left w:val="single" w:color="auto" w:sz="4" w:space="0"/>
              <w:bottom w:val="single" w:color="auto" w:sz="4" w:space="0"/>
              <w:right w:val="single" w:color="auto" w:sz="4" w:space="0"/>
            </w:tcBorders>
            <w:vAlign w:val="center"/>
          </w:tcPr>
          <w:p w14:paraId="26C0569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16" w:type="pct"/>
            <w:tcBorders>
              <w:top w:val="single" w:color="auto" w:sz="4" w:space="0"/>
              <w:left w:val="single" w:color="auto" w:sz="4" w:space="0"/>
              <w:bottom w:val="single" w:color="auto" w:sz="4" w:space="0"/>
              <w:right w:val="single" w:color="auto" w:sz="4" w:space="0"/>
            </w:tcBorders>
            <w:vAlign w:val="center"/>
          </w:tcPr>
          <w:p w14:paraId="1BDFE6E4">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71F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4" w:type="pct"/>
            <w:vMerge w:val="restart"/>
            <w:tcBorders>
              <w:top w:val="single" w:color="auto" w:sz="4" w:space="0"/>
              <w:left w:val="single" w:color="auto" w:sz="4" w:space="0"/>
              <w:right w:val="single" w:color="auto" w:sz="4" w:space="0"/>
            </w:tcBorders>
            <w:vAlign w:val="center"/>
          </w:tcPr>
          <w:p w14:paraId="165EC8BD">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35334342">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0252095">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资信标评审</w:t>
            </w:r>
          </w:p>
        </w:tc>
      </w:tr>
      <w:tr w14:paraId="51F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32CB03C">
            <w:pPr>
              <w:spacing w:line="360" w:lineRule="auto"/>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3576B354">
            <w:pPr>
              <w:widowControl/>
              <w:adjustRightInd w:val="0"/>
              <w:snapToGrid w:val="0"/>
              <w:spacing w:line="360" w:lineRule="auto"/>
              <w:jc w:val="center"/>
              <w:outlineLvl w:val="9"/>
              <w:rPr>
                <w:rFonts w:asciiTheme="minorEastAsia" w:hAnsiTheme="minorEastAsia" w:eastAsiaTheme="minorEastAsia"/>
                <w:bCs/>
                <w:color w:val="auto"/>
                <w:sz w:val="24"/>
                <w:highlight w:val="none"/>
              </w:rPr>
            </w:pPr>
            <w:r>
              <w:rPr>
                <w:rFonts w:hint="eastAsia" w:ascii="宋体" w:hAnsi="宋体" w:eastAsia="宋体" w:cs="宋体"/>
                <w:color w:val="auto"/>
                <w:kern w:val="0"/>
                <w:sz w:val="24"/>
                <w:highlight w:val="none"/>
              </w:rPr>
              <w:t>业绩经验</w:t>
            </w:r>
          </w:p>
        </w:tc>
        <w:tc>
          <w:tcPr>
            <w:tcW w:w="2916" w:type="pct"/>
            <w:tcBorders>
              <w:top w:val="single" w:color="auto" w:sz="4" w:space="0"/>
              <w:left w:val="single" w:color="auto" w:sz="4" w:space="0"/>
              <w:bottom w:val="single" w:color="auto" w:sz="4" w:space="0"/>
              <w:right w:val="single" w:color="auto" w:sz="4" w:space="0"/>
            </w:tcBorders>
            <w:vAlign w:val="center"/>
          </w:tcPr>
          <w:p w14:paraId="7A3EA0E5">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有从事校医院工作</w:t>
            </w:r>
            <w:r>
              <w:rPr>
                <w:rFonts w:hint="eastAsia" w:ascii="宋体" w:hAnsi="宋体" w:eastAsia="宋体" w:cs="宋体"/>
                <w:color w:val="auto"/>
                <w:kern w:val="0"/>
                <w:sz w:val="24"/>
                <w:highlight w:val="none"/>
                <w:lang w:val="en-US" w:eastAsia="zh-CN"/>
              </w:rPr>
              <w:t>不少于</w:t>
            </w:r>
            <w:r>
              <w:rPr>
                <w:rFonts w:hint="eastAsia" w:ascii="宋体" w:hAnsi="宋体" w:eastAsia="宋体" w:cs="宋体"/>
                <w:color w:val="auto"/>
                <w:kern w:val="0"/>
                <w:sz w:val="24"/>
                <w:highlight w:val="none"/>
              </w:rPr>
              <w:t>二年经验的医疗机构得5分，</w:t>
            </w:r>
            <w:r>
              <w:rPr>
                <w:rFonts w:hint="eastAsia" w:ascii="宋体" w:hAnsi="宋体" w:eastAsia="宋体" w:cs="宋体"/>
                <w:color w:val="auto"/>
                <w:kern w:val="0"/>
                <w:sz w:val="24"/>
                <w:highlight w:val="none"/>
                <w:lang w:val="en-US" w:eastAsia="zh-CN"/>
              </w:rPr>
              <w:t>一年到两年经验的3分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不足</w:t>
            </w:r>
            <w:r>
              <w:rPr>
                <w:rFonts w:hint="eastAsia" w:ascii="宋体" w:hAnsi="宋体" w:eastAsia="宋体" w:cs="宋体"/>
                <w:color w:val="auto"/>
                <w:kern w:val="0"/>
                <w:sz w:val="24"/>
                <w:highlight w:val="none"/>
                <w:lang w:val="en-US" w:eastAsia="zh-CN"/>
              </w:rPr>
              <w:t>一年</w:t>
            </w:r>
            <w:r>
              <w:rPr>
                <w:rFonts w:hint="eastAsia" w:ascii="宋体" w:hAnsi="宋体" w:eastAsia="宋体" w:cs="宋体"/>
                <w:color w:val="auto"/>
                <w:kern w:val="0"/>
                <w:sz w:val="24"/>
                <w:highlight w:val="none"/>
              </w:rPr>
              <w:t>的不得分。</w:t>
            </w:r>
          </w:p>
          <w:p w14:paraId="114E8709">
            <w:pPr>
              <w:widowControl/>
              <w:adjustRightInd w:val="0"/>
              <w:snapToGrid w:val="0"/>
              <w:spacing w:line="360" w:lineRule="auto"/>
              <w:jc w:val="left"/>
              <w:outlineLvl w:val="9"/>
              <w:rPr>
                <w:rFonts w:hint="eastAsia" w:eastAsia="宋体" w:asciiTheme="minorEastAsia" w:hAnsiTheme="minorEastAsia"/>
                <w:bCs/>
                <w:color w:val="auto"/>
                <w:sz w:val="24"/>
                <w:highlight w:val="none"/>
                <w:lang w:eastAsia="zh-CN"/>
              </w:rPr>
            </w:pPr>
            <w:r>
              <w:rPr>
                <w:rFonts w:hint="eastAsia" w:ascii="宋体" w:hAnsi="宋体" w:eastAsia="宋体" w:cs="宋体"/>
                <w:b/>
                <w:bCs/>
                <w:color w:val="auto"/>
                <w:kern w:val="0"/>
                <w:sz w:val="24"/>
                <w:highlight w:val="none"/>
              </w:rPr>
              <w:t>注：评审业绩证明材料投标人须提供合同原件复印件加盖投标人的公章，否则所对应项不得分。</w:t>
            </w:r>
          </w:p>
        </w:tc>
        <w:tc>
          <w:tcPr>
            <w:tcW w:w="616" w:type="pct"/>
            <w:tcBorders>
              <w:top w:val="single" w:color="auto" w:sz="4" w:space="0"/>
              <w:left w:val="single" w:color="auto" w:sz="4" w:space="0"/>
              <w:bottom w:val="single" w:color="auto" w:sz="4" w:space="0"/>
              <w:right w:val="single" w:color="auto" w:sz="4" w:space="0"/>
            </w:tcBorders>
            <w:vAlign w:val="center"/>
          </w:tcPr>
          <w:p w14:paraId="0C133726">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0-5</w:t>
            </w:r>
            <w:r>
              <w:rPr>
                <w:rFonts w:hint="eastAsia" w:asciiTheme="minorEastAsia" w:hAnsiTheme="minorEastAsia" w:eastAsiaTheme="minorEastAsia"/>
                <w:b/>
                <w:bCs/>
                <w:color w:val="auto"/>
                <w:sz w:val="24"/>
                <w:highlight w:val="none"/>
                <w:lang w:val="en-US"/>
              </w:rPr>
              <w:t>分</w:t>
            </w:r>
          </w:p>
        </w:tc>
      </w:tr>
      <w:tr w14:paraId="7C81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jc w:val="center"/>
        </w:trPr>
        <w:tc>
          <w:tcPr>
            <w:tcW w:w="674" w:type="pct"/>
            <w:vMerge w:val="continue"/>
            <w:tcBorders>
              <w:left w:val="single" w:color="auto" w:sz="4" w:space="0"/>
              <w:right w:val="single" w:color="auto" w:sz="4" w:space="0"/>
            </w:tcBorders>
            <w:vAlign w:val="center"/>
          </w:tcPr>
          <w:p w14:paraId="6E82D4B7">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right w:val="single" w:color="auto" w:sz="4" w:space="0"/>
            </w:tcBorders>
            <w:vAlign w:val="center"/>
          </w:tcPr>
          <w:p w14:paraId="032A1777">
            <w:pPr>
              <w:widowControl/>
              <w:adjustRightInd w:val="0"/>
              <w:snapToGrid w:val="0"/>
              <w:spacing w:line="360" w:lineRule="auto"/>
              <w:jc w:val="left"/>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社区卫生服务</w:t>
            </w:r>
          </w:p>
        </w:tc>
        <w:tc>
          <w:tcPr>
            <w:tcW w:w="2916" w:type="pct"/>
            <w:tcBorders>
              <w:top w:val="single" w:color="auto" w:sz="4" w:space="0"/>
              <w:left w:val="single" w:color="auto" w:sz="4" w:space="0"/>
              <w:right w:val="single" w:color="auto" w:sz="4" w:space="0"/>
            </w:tcBorders>
            <w:vAlign w:val="center"/>
          </w:tcPr>
          <w:p w14:paraId="7515C04E">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1.能够承担社区卫生服务的医疗机构</w:t>
            </w:r>
            <w:r>
              <w:rPr>
                <w:rFonts w:hint="eastAsia" w:ascii="宋体" w:hAnsi="宋体" w:eastAsia="宋体" w:cs="宋体"/>
                <w:color w:val="auto"/>
                <w:kern w:val="0"/>
                <w:sz w:val="24"/>
                <w:highlight w:val="none"/>
                <w:lang w:val="en-US" w:eastAsia="zh-CN"/>
              </w:rPr>
              <w:t>资格</w:t>
            </w:r>
            <w:r>
              <w:rPr>
                <w:rFonts w:hint="eastAsia" w:ascii="宋体" w:hAnsi="宋体" w:eastAsia="宋体" w:cs="宋体"/>
                <w:color w:val="auto"/>
                <w:kern w:val="0"/>
                <w:sz w:val="24"/>
                <w:highlight w:val="none"/>
              </w:rPr>
              <w:t>及至少两医一护有职业医师资质证书及护士医务人员资</w:t>
            </w:r>
            <w:r>
              <w:rPr>
                <w:rFonts w:hint="eastAsia" w:ascii="宋体" w:hAnsi="宋体" w:eastAsia="宋体" w:cs="宋体"/>
                <w:color w:val="auto"/>
                <w:kern w:val="0"/>
                <w:sz w:val="24"/>
                <w:highlight w:val="none"/>
                <w:lang w:val="en-US" w:eastAsia="zh-CN"/>
              </w:rPr>
              <w:t>格</w:t>
            </w:r>
            <w:r>
              <w:rPr>
                <w:rFonts w:hint="eastAsia" w:ascii="宋体" w:hAnsi="宋体" w:eastAsia="宋体" w:cs="宋体"/>
                <w:color w:val="auto"/>
                <w:kern w:val="0"/>
                <w:sz w:val="24"/>
                <w:highlight w:val="none"/>
              </w:rPr>
              <w:t>相关材料，得</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分；</w:t>
            </w:r>
          </w:p>
          <w:p w14:paraId="38FE416C">
            <w:pPr>
              <w:widowControl/>
              <w:adjustRightInd w:val="0"/>
              <w:snapToGrid w:val="0"/>
              <w:spacing w:line="360" w:lineRule="auto"/>
              <w:jc w:val="left"/>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2.有从事学校医务室经历并有建立学生健康档案管理经验的，得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分；（每提供1</w:t>
            </w:r>
            <w:r>
              <w:rPr>
                <w:rFonts w:hint="eastAsia" w:ascii="宋体" w:hAnsi="宋体" w:eastAsia="宋体" w:cs="宋体"/>
                <w:color w:val="auto"/>
                <w:kern w:val="0"/>
                <w:sz w:val="24"/>
                <w:highlight w:val="none"/>
                <w:lang w:val="en-US" w:eastAsia="zh-CN"/>
              </w:rPr>
              <w:t>份</w:t>
            </w:r>
            <w:r>
              <w:rPr>
                <w:rFonts w:hint="eastAsia" w:ascii="宋体" w:hAnsi="宋体" w:eastAsia="宋体" w:cs="宋体"/>
                <w:color w:val="auto"/>
                <w:kern w:val="0"/>
                <w:sz w:val="24"/>
                <w:highlight w:val="none"/>
              </w:rPr>
              <w:t>合同，得</w:t>
            </w: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分；最高得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p w14:paraId="7F29F3DA">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3.能够组织承担建立好新生入学体检并建好档案的；（注：学生体检费按教育部门指导价执行，另行招标。）得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分。（每提供1</w:t>
            </w:r>
            <w:r>
              <w:rPr>
                <w:rFonts w:hint="eastAsia" w:ascii="宋体" w:hAnsi="宋体" w:eastAsia="宋体" w:cs="宋体"/>
                <w:color w:val="auto"/>
                <w:kern w:val="0"/>
                <w:sz w:val="24"/>
                <w:highlight w:val="none"/>
                <w:lang w:val="en-US" w:eastAsia="zh-CN"/>
              </w:rPr>
              <w:t>份</w:t>
            </w:r>
            <w:r>
              <w:rPr>
                <w:rFonts w:hint="eastAsia" w:ascii="宋体" w:hAnsi="宋体" w:eastAsia="宋体" w:cs="宋体"/>
                <w:color w:val="auto"/>
                <w:kern w:val="0"/>
                <w:sz w:val="24"/>
                <w:highlight w:val="none"/>
              </w:rPr>
              <w:t>合同及对应不同年份的部分新生入学体检表档案原件样本的得</w:t>
            </w: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分，最高得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p w14:paraId="5552F420">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注：上述所提供合同及体检表档案、为近二年学校服务合同及对应年限部分学生入学体检档案。</w:t>
            </w:r>
          </w:p>
        </w:tc>
        <w:tc>
          <w:tcPr>
            <w:tcW w:w="616" w:type="pct"/>
            <w:tcBorders>
              <w:top w:val="single" w:color="auto" w:sz="4" w:space="0"/>
              <w:left w:val="single" w:color="auto" w:sz="4" w:space="0"/>
              <w:right w:val="single" w:color="auto" w:sz="4" w:space="0"/>
            </w:tcBorders>
            <w:vAlign w:val="center"/>
          </w:tcPr>
          <w:p w14:paraId="3F33DA1A">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0-25</w:t>
            </w:r>
            <w:r>
              <w:rPr>
                <w:rFonts w:hint="eastAsia" w:asciiTheme="minorEastAsia" w:hAnsiTheme="minorEastAsia" w:eastAsiaTheme="minorEastAsia"/>
                <w:b/>
                <w:bCs/>
                <w:color w:val="auto"/>
                <w:sz w:val="24"/>
                <w:highlight w:val="none"/>
                <w:lang w:val="en-US"/>
              </w:rPr>
              <w:t>分</w:t>
            </w:r>
          </w:p>
        </w:tc>
      </w:tr>
      <w:tr w14:paraId="414F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C6C9F1F">
            <w:pPr>
              <w:widowControl/>
              <w:adjustRightInd w:val="0"/>
              <w:snapToGrid w:val="0"/>
              <w:spacing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技术分</w:t>
            </w:r>
          </w:p>
          <w:p w14:paraId="67C8A1D7">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60</w:t>
            </w:r>
            <w:r>
              <w:rPr>
                <w:rFonts w:hint="eastAsia" w:ascii="宋体" w:hAnsi="宋体" w:eastAsia="宋体" w:cs="宋体"/>
                <w:color w:val="auto"/>
                <w:kern w:val="0"/>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ECBE899">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技术标评审</w:t>
            </w:r>
          </w:p>
        </w:tc>
      </w:tr>
      <w:tr w14:paraId="65FF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4DE7E61">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A882ECF">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服务方案</w:t>
            </w:r>
          </w:p>
        </w:tc>
        <w:tc>
          <w:tcPr>
            <w:tcW w:w="2916" w:type="pct"/>
            <w:tcBorders>
              <w:top w:val="single" w:color="auto" w:sz="4" w:space="0"/>
              <w:left w:val="single" w:color="auto" w:sz="4" w:space="0"/>
              <w:bottom w:val="single" w:color="auto" w:sz="4" w:space="0"/>
              <w:right w:val="single" w:color="auto" w:sz="4" w:space="0"/>
            </w:tcBorders>
            <w:vAlign w:val="center"/>
          </w:tcPr>
          <w:p w14:paraId="2B3C9BF0">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方案包括服务人员（提供至少两医一护有全科医师资质及护士医务人员资质对应的24小时值班方案）、值班制度、服务内容、常见药品与社区医疗机构同价的价目表、承诺中标后能无偿保障学校组织的军训、技能大赛、体育赛事、应急演练等集体活动的医疗保障等，评标委员会对比各投标人的服务方案内容，进行综合评价：</w:t>
            </w:r>
          </w:p>
          <w:p w14:paraId="1C6FD170">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内容具体详细、目标明确的得30分；内容较具体详细、目标较清晰的得20分；内容简单、目标不明确的得10分；没有不得分。</w:t>
            </w:r>
          </w:p>
        </w:tc>
        <w:tc>
          <w:tcPr>
            <w:tcW w:w="616" w:type="pct"/>
            <w:tcBorders>
              <w:top w:val="single" w:color="auto" w:sz="4" w:space="0"/>
              <w:left w:val="single" w:color="auto" w:sz="4" w:space="0"/>
              <w:bottom w:val="single" w:color="auto" w:sz="4" w:space="0"/>
              <w:right w:val="single" w:color="auto" w:sz="4" w:space="0"/>
            </w:tcBorders>
            <w:vAlign w:val="center"/>
          </w:tcPr>
          <w:p w14:paraId="6B88F91C">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0-30</w:t>
            </w:r>
            <w:r>
              <w:rPr>
                <w:rFonts w:hint="eastAsia" w:asciiTheme="minorEastAsia" w:hAnsiTheme="minorEastAsia" w:eastAsiaTheme="minorEastAsia"/>
                <w:b/>
                <w:bCs/>
                <w:color w:val="auto"/>
                <w:sz w:val="24"/>
                <w:highlight w:val="none"/>
                <w:lang w:val="en-US"/>
              </w:rPr>
              <w:t>分</w:t>
            </w:r>
          </w:p>
        </w:tc>
      </w:tr>
      <w:tr w14:paraId="537D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73274159">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5E520E46">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健康档案管理服务方案</w:t>
            </w:r>
          </w:p>
        </w:tc>
        <w:tc>
          <w:tcPr>
            <w:tcW w:w="2916" w:type="pct"/>
            <w:tcBorders>
              <w:top w:val="single" w:color="auto" w:sz="4" w:space="0"/>
              <w:left w:val="single" w:color="auto" w:sz="4" w:space="0"/>
              <w:bottom w:val="single" w:color="auto" w:sz="4" w:space="0"/>
              <w:right w:val="single" w:color="auto" w:sz="4" w:space="0"/>
            </w:tcBorders>
            <w:vAlign w:val="center"/>
          </w:tcPr>
          <w:p w14:paraId="4A1EFBCB">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根据重大疾病隐患提醒、复查服务、健康档案管理与交送、药品零差价（常见药品零差价表）、服务费承诺表（如：吊水单价，换药单价等）等配套服务情况对比各投标人综合评价：</w:t>
            </w:r>
          </w:p>
          <w:p w14:paraId="6C91929B">
            <w:pPr>
              <w:widowControl/>
              <w:adjustRightInd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方案依据全面，针对性强的得30分，方案依据较全面，针对性有待完善的得20分，方案依据不全面，针对性较差的得10分；没有不得分。</w:t>
            </w:r>
          </w:p>
        </w:tc>
        <w:tc>
          <w:tcPr>
            <w:tcW w:w="616" w:type="pct"/>
            <w:tcBorders>
              <w:top w:val="single" w:color="auto" w:sz="4" w:space="0"/>
              <w:left w:val="single" w:color="auto" w:sz="4" w:space="0"/>
              <w:bottom w:val="single" w:color="auto" w:sz="4" w:space="0"/>
              <w:right w:val="single" w:color="auto" w:sz="4" w:space="0"/>
            </w:tcBorders>
            <w:vAlign w:val="center"/>
          </w:tcPr>
          <w:p w14:paraId="17EEA58B">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0-30</w:t>
            </w:r>
            <w:r>
              <w:rPr>
                <w:rFonts w:hint="eastAsia" w:asciiTheme="minorEastAsia" w:hAnsiTheme="minorEastAsia" w:eastAsiaTheme="minorEastAsia"/>
                <w:b/>
                <w:bCs/>
                <w:color w:val="auto"/>
                <w:sz w:val="24"/>
                <w:highlight w:val="none"/>
                <w:lang w:val="en-US"/>
              </w:rPr>
              <w:t>分</w:t>
            </w:r>
          </w:p>
        </w:tc>
      </w:tr>
      <w:tr w14:paraId="506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04929232">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CC320AD">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3CDE977B">
            <w:pPr>
              <w:spacing w:line="360" w:lineRule="auto"/>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分。其他投标人的价格分统一按照下列公式计算：投标报价得分＝（评标基准价/投标报价）×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35C2D08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509EF0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579D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7DEE87B6">
      <w:pPr>
        <w:spacing w:line="360" w:lineRule="auto"/>
        <w:jc w:val="center"/>
        <w:outlineLvl w:val="0"/>
        <w:rPr>
          <w:rFonts w:hint="eastAsia" w:asciiTheme="minorEastAsia" w:hAnsiTheme="minorEastAsia" w:eastAsiaTheme="minorEastAsia"/>
          <w:b/>
          <w:color w:val="auto"/>
          <w:sz w:val="28"/>
          <w:highlight w:val="none"/>
          <w:lang w:eastAsia="zh-CN"/>
        </w:rPr>
      </w:pPr>
      <w:bookmarkStart w:id="12" w:name="_Toc1367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12"/>
    </w:p>
    <w:p w14:paraId="07E867ED">
      <w:pPr>
        <w:widowControl/>
        <w:spacing w:line="276" w:lineRule="auto"/>
        <w:ind w:left="360"/>
        <w:jc w:val="center"/>
        <w:textAlignment w:val="baseline"/>
        <w:outlineLvl w:val="1"/>
        <w:rPr>
          <w:rFonts w:hint="eastAsia" w:ascii="黑体" w:eastAsia="黑体"/>
          <w:b/>
          <w:color w:val="000000"/>
          <w:sz w:val="30"/>
          <w:szCs w:val="30"/>
          <w:highlight w:val="none"/>
        </w:rPr>
      </w:pPr>
      <w:bookmarkStart w:id="13" w:name="_Toc132960538"/>
      <w:bookmarkStart w:id="14" w:name="_Toc23234685"/>
      <w:bookmarkStart w:id="15" w:name="_Toc2242918"/>
      <w:r>
        <w:rPr>
          <w:rFonts w:hint="eastAsia" w:ascii="宋体"/>
          <w:b/>
          <w:color w:val="000000"/>
          <w:sz w:val="30"/>
          <w:szCs w:val="30"/>
          <w:highlight w:val="none"/>
        </w:rPr>
        <w:t>一、合同协议书（格式）</w:t>
      </w:r>
      <w:bookmarkEnd w:id="13"/>
    </w:p>
    <w:bookmarkEnd w:id="14"/>
    <w:bookmarkEnd w:id="15"/>
    <w:p w14:paraId="518B1C12">
      <w:pPr>
        <w:jc w:val="center"/>
        <w:rPr>
          <w:rFonts w:hint="eastAsia"/>
          <w:sz w:val="44"/>
          <w:szCs w:val="44"/>
          <w:highlight w:val="none"/>
        </w:rPr>
      </w:pPr>
      <w:r>
        <w:rPr>
          <w:rFonts w:hint="eastAsia"/>
          <w:sz w:val="44"/>
          <w:szCs w:val="44"/>
          <w:highlight w:val="none"/>
        </w:rPr>
        <w:t>合   同   书</w:t>
      </w:r>
    </w:p>
    <w:p w14:paraId="5E5615F8">
      <w:pPr>
        <w:rPr>
          <w:rFonts w:hint="eastAsia"/>
          <w:sz w:val="28"/>
          <w:szCs w:val="28"/>
          <w:highlight w:val="none"/>
        </w:rPr>
      </w:pPr>
    </w:p>
    <w:p w14:paraId="1B4EB7D2">
      <w:pPr>
        <w:rPr>
          <w:rFonts w:hint="eastAsia"/>
          <w:sz w:val="28"/>
          <w:szCs w:val="28"/>
          <w:highlight w:val="none"/>
        </w:rPr>
      </w:pPr>
      <w:r>
        <w:rPr>
          <w:rFonts w:hint="eastAsia"/>
          <w:sz w:val="28"/>
          <w:szCs w:val="28"/>
          <w:highlight w:val="none"/>
        </w:rPr>
        <w:t>甲方：</w:t>
      </w:r>
    </w:p>
    <w:p w14:paraId="27926A47">
      <w:pPr>
        <w:rPr>
          <w:rFonts w:hint="eastAsia" w:eastAsia="宋体"/>
          <w:sz w:val="28"/>
          <w:szCs w:val="28"/>
          <w:highlight w:val="none"/>
          <w:lang w:eastAsia="zh-CN"/>
        </w:rPr>
      </w:pPr>
      <w:r>
        <w:rPr>
          <w:rFonts w:hint="eastAsia"/>
          <w:sz w:val="28"/>
          <w:szCs w:val="28"/>
          <w:highlight w:val="none"/>
        </w:rPr>
        <w:t>乙方：</w:t>
      </w:r>
    </w:p>
    <w:p w14:paraId="606EF1E6">
      <w:pPr>
        <w:ind w:firstLine="560" w:firstLineChars="200"/>
        <w:rPr>
          <w:rFonts w:hint="eastAsia"/>
          <w:sz w:val="28"/>
          <w:szCs w:val="28"/>
          <w:highlight w:val="none"/>
        </w:rPr>
      </w:pPr>
      <w:r>
        <w:rPr>
          <w:rFonts w:hint="eastAsia"/>
          <w:sz w:val="28"/>
          <w:szCs w:val="28"/>
          <w:highlight w:val="none"/>
        </w:rPr>
        <w:t>为了</w:t>
      </w:r>
      <w:r>
        <w:rPr>
          <w:rFonts w:hint="eastAsia"/>
          <w:sz w:val="28"/>
          <w:szCs w:val="28"/>
          <w:highlight w:val="none"/>
          <w:lang w:eastAsia="zh-CN"/>
        </w:rPr>
        <w:t>贯</w:t>
      </w:r>
      <w:r>
        <w:rPr>
          <w:rFonts w:hint="eastAsia"/>
          <w:sz w:val="28"/>
          <w:szCs w:val="28"/>
          <w:highlight w:val="none"/>
        </w:rPr>
        <w:t>彻落实国家教育部、卫生部联合下发的《学校卫生工作条例》，依据高校后勤社会化相关政策精神，</w:t>
      </w:r>
      <w:r>
        <w:rPr>
          <w:rFonts w:hint="eastAsia"/>
          <w:sz w:val="28"/>
          <w:szCs w:val="28"/>
          <w:highlight w:val="none"/>
          <w:lang w:eastAsia="zh-CN"/>
        </w:rPr>
        <w:t>滁州市机电工程学校（安徽滁州技师学院） 医务室服务项目于</w:t>
      </w:r>
      <w:r>
        <w:rPr>
          <w:rFonts w:hint="eastAsia"/>
          <w:sz w:val="28"/>
          <w:szCs w:val="28"/>
          <w:highlight w:val="none"/>
          <w:lang w:val="en-US" w:eastAsia="zh-CN"/>
        </w:rPr>
        <w:t xml:space="preserve">   年   月  日公开招标，由 </w:t>
      </w:r>
      <w:r>
        <w:rPr>
          <w:rFonts w:hint="eastAsia"/>
          <w:sz w:val="28"/>
          <w:szCs w:val="28"/>
          <w:highlight w:val="none"/>
          <w:u w:val="single"/>
          <w:lang w:val="en-US" w:eastAsia="zh-CN"/>
        </w:rPr>
        <w:t xml:space="preserve">         </w:t>
      </w:r>
      <w:r>
        <w:rPr>
          <w:rFonts w:hint="eastAsia"/>
          <w:sz w:val="28"/>
          <w:szCs w:val="28"/>
          <w:highlight w:val="none"/>
          <w:lang w:val="en-US" w:eastAsia="zh-CN"/>
        </w:rPr>
        <w:t xml:space="preserve"> </w:t>
      </w:r>
      <w:r>
        <w:rPr>
          <w:rFonts w:hint="eastAsia"/>
          <w:sz w:val="28"/>
          <w:szCs w:val="28"/>
          <w:highlight w:val="none"/>
          <w:lang w:eastAsia="zh-CN"/>
        </w:rPr>
        <w:t>以每年</w:t>
      </w:r>
      <w:r>
        <w:rPr>
          <w:rFonts w:hint="eastAsia"/>
          <w:sz w:val="28"/>
          <w:szCs w:val="28"/>
          <w:highlight w:val="none"/>
          <w:lang w:val="en-US" w:eastAsia="zh-CN"/>
        </w:rPr>
        <w:t xml:space="preserve">    万元服务费</w:t>
      </w:r>
      <w:r>
        <w:rPr>
          <w:rFonts w:hint="eastAsia"/>
          <w:sz w:val="28"/>
          <w:szCs w:val="28"/>
          <w:highlight w:val="none"/>
          <w:lang w:eastAsia="zh-CN"/>
        </w:rPr>
        <w:t>中标；经</w:t>
      </w:r>
      <w:r>
        <w:rPr>
          <w:rFonts w:hint="eastAsia"/>
          <w:sz w:val="28"/>
          <w:szCs w:val="28"/>
          <w:highlight w:val="none"/>
        </w:rPr>
        <w:t>双方协商，签订</w:t>
      </w:r>
      <w:r>
        <w:rPr>
          <w:rFonts w:hint="eastAsia"/>
          <w:sz w:val="28"/>
          <w:szCs w:val="28"/>
          <w:highlight w:val="none"/>
          <w:lang w:eastAsia="zh-CN"/>
        </w:rPr>
        <w:t>协议</w:t>
      </w:r>
      <w:r>
        <w:rPr>
          <w:rFonts w:hint="eastAsia"/>
          <w:sz w:val="28"/>
          <w:szCs w:val="28"/>
          <w:highlight w:val="none"/>
        </w:rPr>
        <w:t>如下：</w:t>
      </w:r>
    </w:p>
    <w:p w14:paraId="5AF294E4">
      <w:pPr>
        <w:pStyle w:val="40"/>
        <w:numPr>
          <w:ilvl w:val="0"/>
          <w:numId w:val="0"/>
        </w:numPr>
        <w:ind w:leftChars="0"/>
        <w:rPr>
          <w:rFonts w:hint="eastAsia"/>
          <w:sz w:val="28"/>
          <w:szCs w:val="28"/>
          <w:highlight w:val="none"/>
        </w:rPr>
      </w:pPr>
      <w:r>
        <w:rPr>
          <w:rFonts w:hint="eastAsia"/>
          <w:sz w:val="28"/>
          <w:szCs w:val="28"/>
          <w:highlight w:val="none"/>
          <w:lang w:val="en-US" w:eastAsia="zh-CN"/>
        </w:rPr>
        <w:t>一、</w:t>
      </w:r>
      <w:r>
        <w:rPr>
          <w:rFonts w:hint="eastAsia"/>
          <w:sz w:val="28"/>
          <w:szCs w:val="28"/>
          <w:highlight w:val="none"/>
        </w:rPr>
        <w:t>合作内容：</w:t>
      </w:r>
    </w:p>
    <w:p w14:paraId="74A4901F">
      <w:pPr>
        <w:pStyle w:val="40"/>
        <w:numPr>
          <w:ilvl w:val="0"/>
          <w:numId w:val="0"/>
        </w:numPr>
        <w:ind w:leftChars="0"/>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rPr>
        <w:t>甲方在校区为乙方提供场所，乙方设置医疗室（</w:t>
      </w:r>
      <w:r>
        <w:rPr>
          <w:rFonts w:hint="eastAsia"/>
          <w:sz w:val="28"/>
          <w:szCs w:val="28"/>
          <w:highlight w:val="none"/>
          <w:u w:val="single"/>
          <w:lang w:val="en-US" w:eastAsia="zh-CN"/>
        </w:rPr>
        <w:t xml:space="preserve">       </w:t>
      </w:r>
      <w:r>
        <w:rPr>
          <w:rFonts w:hint="eastAsia"/>
          <w:sz w:val="28"/>
          <w:szCs w:val="28"/>
          <w:highlight w:val="none"/>
        </w:rPr>
        <w:t>）。医疗室的登记注册一切事宜和相关费用由乙方负责，甲方协助。</w:t>
      </w:r>
    </w:p>
    <w:p w14:paraId="6D4F8025">
      <w:pPr>
        <w:pStyle w:val="40"/>
        <w:numPr>
          <w:ilvl w:val="0"/>
          <w:numId w:val="0"/>
        </w:numPr>
        <w:ind w:leftChars="0"/>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二</w:t>
      </w:r>
      <w:r>
        <w:rPr>
          <w:rFonts w:hint="eastAsia"/>
          <w:sz w:val="28"/>
          <w:szCs w:val="28"/>
          <w:highlight w:val="none"/>
          <w:lang w:eastAsia="zh-CN"/>
        </w:rPr>
        <w:t>）</w:t>
      </w:r>
      <w:r>
        <w:rPr>
          <w:rFonts w:hint="eastAsia"/>
          <w:sz w:val="28"/>
          <w:szCs w:val="28"/>
          <w:highlight w:val="none"/>
        </w:rPr>
        <w:t>医疗服务站服务内容包括：</w:t>
      </w:r>
    </w:p>
    <w:p w14:paraId="3FF04853">
      <w:pPr>
        <w:pStyle w:val="40"/>
        <w:ind w:left="0" w:leftChars="0" w:firstLine="560" w:firstLineChars="200"/>
        <w:rPr>
          <w:rFonts w:hint="eastAsia" w:eastAsia="宋体"/>
          <w:sz w:val="28"/>
          <w:szCs w:val="28"/>
          <w:highlight w:val="none"/>
          <w:lang w:eastAsia="zh-CN"/>
        </w:rPr>
      </w:pPr>
      <w:r>
        <w:rPr>
          <w:rFonts w:hint="eastAsia"/>
          <w:sz w:val="28"/>
          <w:szCs w:val="28"/>
          <w:highlight w:val="none"/>
        </w:rPr>
        <w:t>学生</w:t>
      </w:r>
      <w:r>
        <w:rPr>
          <w:rFonts w:hint="eastAsia"/>
          <w:sz w:val="28"/>
          <w:szCs w:val="28"/>
          <w:highlight w:val="none"/>
          <w:lang w:eastAsia="zh-CN"/>
        </w:rPr>
        <w:t>健康监测</w:t>
      </w:r>
      <w:r>
        <w:rPr>
          <w:rFonts w:hint="eastAsia"/>
          <w:sz w:val="28"/>
          <w:szCs w:val="28"/>
          <w:highlight w:val="none"/>
        </w:rPr>
        <w:t>；学生日常医</w:t>
      </w:r>
      <w:r>
        <w:rPr>
          <w:rFonts w:hint="eastAsia"/>
          <w:sz w:val="28"/>
          <w:szCs w:val="28"/>
          <w:highlight w:val="none"/>
          <w:lang w:eastAsia="zh-CN"/>
        </w:rPr>
        <w:t>疗及</w:t>
      </w:r>
      <w:r>
        <w:rPr>
          <w:rFonts w:hint="eastAsia"/>
          <w:sz w:val="28"/>
          <w:szCs w:val="28"/>
          <w:highlight w:val="none"/>
        </w:rPr>
        <w:t>保健；教职工医疗</w:t>
      </w:r>
      <w:r>
        <w:rPr>
          <w:rFonts w:hint="eastAsia"/>
          <w:sz w:val="28"/>
          <w:szCs w:val="28"/>
          <w:highlight w:val="none"/>
          <w:lang w:eastAsia="zh-CN"/>
        </w:rPr>
        <w:t>及健康</w:t>
      </w:r>
      <w:r>
        <w:rPr>
          <w:rFonts w:hint="eastAsia"/>
          <w:sz w:val="28"/>
          <w:szCs w:val="28"/>
          <w:highlight w:val="none"/>
        </w:rPr>
        <w:t>（自愿）；传染病防控</w:t>
      </w:r>
      <w:r>
        <w:rPr>
          <w:rFonts w:hint="eastAsia"/>
          <w:sz w:val="28"/>
          <w:szCs w:val="28"/>
          <w:highlight w:val="none"/>
          <w:lang w:eastAsia="zh-CN"/>
        </w:rPr>
        <w:t>；学生活动医疗保障、健康档案建立和管理；学校健康教育宣传、辅</w:t>
      </w:r>
      <w:r>
        <w:rPr>
          <w:rFonts w:hint="eastAsia"/>
          <w:sz w:val="28"/>
          <w:szCs w:val="28"/>
          <w:highlight w:val="none"/>
          <w:lang w:val="en-US" w:eastAsia="zh-CN"/>
        </w:rPr>
        <w:t>组</w:t>
      </w:r>
      <w:r>
        <w:rPr>
          <w:rFonts w:hint="eastAsia"/>
          <w:sz w:val="28"/>
          <w:szCs w:val="28"/>
          <w:highlight w:val="none"/>
          <w:lang w:eastAsia="zh-CN"/>
        </w:rPr>
        <w:t>学校食堂食品卫生安全管理。</w:t>
      </w:r>
    </w:p>
    <w:p w14:paraId="1F5E7554">
      <w:pPr>
        <w:rPr>
          <w:rFonts w:hint="eastAsia"/>
          <w:sz w:val="28"/>
          <w:szCs w:val="28"/>
          <w:highlight w:val="none"/>
        </w:rPr>
      </w:pPr>
      <w:r>
        <w:rPr>
          <w:rFonts w:hint="eastAsia"/>
          <w:sz w:val="28"/>
          <w:szCs w:val="28"/>
          <w:highlight w:val="none"/>
        </w:rPr>
        <w:t>二、甲、乙双方权利义务：</w:t>
      </w:r>
    </w:p>
    <w:p w14:paraId="687770B0">
      <w:pPr>
        <w:ind w:firstLine="560" w:firstLineChars="200"/>
        <w:rPr>
          <w:rFonts w:hint="eastAsia"/>
          <w:sz w:val="28"/>
          <w:szCs w:val="28"/>
          <w:highlight w:val="none"/>
        </w:rPr>
      </w:pPr>
      <w:r>
        <w:rPr>
          <w:rFonts w:hint="eastAsia"/>
          <w:sz w:val="28"/>
          <w:szCs w:val="28"/>
          <w:highlight w:val="none"/>
        </w:rPr>
        <w:t>甲方：</w:t>
      </w:r>
    </w:p>
    <w:p w14:paraId="33CFD86E">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在合作期间甲方负责提供乙方医疗场地</w:t>
      </w:r>
      <w:r>
        <w:rPr>
          <w:rFonts w:hint="eastAsia"/>
          <w:sz w:val="28"/>
          <w:szCs w:val="28"/>
          <w:highlight w:val="none"/>
          <w:lang w:eastAsia="zh-CN"/>
        </w:rPr>
        <w:t>和一些必要的办公设备。</w:t>
      </w:r>
    </w:p>
    <w:p w14:paraId="03533BC8">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2、</w:t>
      </w:r>
      <w:r>
        <w:rPr>
          <w:rFonts w:hint="eastAsia"/>
          <w:sz w:val="28"/>
          <w:szCs w:val="28"/>
          <w:highlight w:val="none"/>
        </w:rPr>
        <w:t>甲方</w:t>
      </w:r>
      <w:r>
        <w:rPr>
          <w:rFonts w:hint="eastAsia"/>
          <w:sz w:val="28"/>
          <w:szCs w:val="28"/>
          <w:highlight w:val="none"/>
          <w:lang w:eastAsia="zh-CN"/>
        </w:rPr>
        <w:t>为</w:t>
      </w:r>
      <w:r>
        <w:rPr>
          <w:rFonts w:hint="eastAsia"/>
          <w:sz w:val="28"/>
          <w:szCs w:val="28"/>
          <w:highlight w:val="none"/>
          <w:lang w:val="en-US" w:eastAsia="zh-CN"/>
        </w:rPr>
        <w:t>乙方</w:t>
      </w:r>
      <w:r>
        <w:rPr>
          <w:rFonts w:hint="eastAsia"/>
          <w:sz w:val="28"/>
          <w:szCs w:val="28"/>
          <w:highlight w:val="none"/>
        </w:rPr>
        <w:t>提供水</w:t>
      </w:r>
      <w:r>
        <w:rPr>
          <w:rFonts w:hint="eastAsia"/>
          <w:sz w:val="28"/>
          <w:szCs w:val="28"/>
          <w:highlight w:val="none"/>
          <w:lang w:eastAsia="zh-CN"/>
        </w:rPr>
        <w:t>、</w:t>
      </w:r>
      <w:r>
        <w:rPr>
          <w:rFonts w:hint="eastAsia"/>
          <w:sz w:val="28"/>
          <w:szCs w:val="28"/>
          <w:highlight w:val="none"/>
        </w:rPr>
        <w:t>电</w:t>
      </w:r>
      <w:r>
        <w:rPr>
          <w:rFonts w:hint="eastAsia"/>
          <w:sz w:val="28"/>
          <w:szCs w:val="28"/>
          <w:highlight w:val="none"/>
          <w:lang w:eastAsia="zh-CN"/>
        </w:rPr>
        <w:t>及免费的</w:t>
      </w:r>
      <w:r>
        <w:rPr>
          <w:rFonts w:hint="eastAsia"/>
          <w:sz w:val="28"/>
          <w:szCs w:val="28"/>
          <w:highlight w:val="none"/>
        </w:rPr>
        <w:t>网络</w:t>
      </w:r>
      <w:r>
        <w:rPr>
          <w:rFonts w:hint="eastAsia"/>
          <w:sz w:val="28"/>
          <w:szCs w:val="28"/>
          <w:highlight w:val="none"/>
          <w:lang w:eastAsia="zh-CN"/>
        </w:rPr>
        <w:t>连</w:t>
      </w:r>
      <w:r>
        <w:rPr>
          <w:rFonts w:hint="eastAsia"/>
          <w:sz w:val="28"/>
          <w:szCs w:val="28"/>
          <w:highlight w:val="none"/>
        </w:rPr>
        <w:t>接。</w:t>
      </w:r>
    </w:p>
    <w:p w14:paraId="42F0F4D1">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3、</w:t>
      </w:r>
      <w:r>
        <w:rPr>
          <w:rFonts w:hint="eastAsia"/>
          <w:sz w:val="28"/>
          <w:szCs w:val="28"/>
          <w:highlight w:val="none"/>
          <w:lang w:eastAsia="zh-CN"/>
        </w:rPr>
        <w:t>负责协调乙方和学生之间的医疗服务矛盾。</w:t>
      </w:r>
    </w:p>
    <w:p w14:paraId="4E08DD93">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4、</w:t>
      </w:r>
      <w:r>
        <w:rPr>
          <w:rFonts w:hint="eastAsia"/>
          <w:sz w:val="28"/>
          <w:szCs w:val="28"/>
          <w:highlight w:val="none"/>
          <w:lang w:eastAsia="zh-CN"/>
        </w:rPr>
        <w:t>对乙方合同期内应履行的职责进行监督、检查和考核。</w:t>
      </w:r>
      <w:r>
        <w:rPr>
          <w:rFonts w:hint="eastAsia"/>
          <w:sz w:val="28"/>
          <w:szCs w:val="28"/>
          <w:highlight w:val="none"/>
        </w:rPr>
        <w:t>对学生反映的问题有权要求乙方及时纠正。</w:t>
      </w:r>
    </w:p>
    <w:p w14:paraId="3BE9AC5A">
      <w:pPr>
        <w:ind w:firstLine="560" w:firstLineChars="200"/>
        <w:rPr>
          <w:rFonts w:hint="eastAsia"/>
          <w:sz w:val="28"/>
          <w:szCs w:val="28"/>
          <w:highlight w:val="none"/>
        </w:rPr>
      </w:pPr>
      <w:r>
        <w:rPr>
          <w:rFonts w:hint="eastAsia"/>
          <w:sz w:val="28"/>
          <w:szCs w:val="28"/>
          <w:highlight w:val="none"/>
        </w:rPr>
        <w:t>乙方：</w:t>
      </w:r>
    </w:p>
    <w:p w14:paraId="6435D0A3">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乙方选配业务技术精、管理能力强的</w:t>
      </w:r>
      <w:r>
        <w:rPr>
          <w:rFonts w:hint="eastAsia"/>
          <w:sz w:val="28"/>
          <w:szCs w:val="28"/>
          <w:highlight w:val="none"/>
          <w:lang w:eastAsia="zh-CN"/>
        </w:rPr>
        <w:t>，服务态度好的</w:t>
      </w:r>
      <w:r>
        <w:rPr>
          <w:rFonts w:hint="eastAsia"/>
          <w:sz w:val="28"/>
          <w:szCs w:val="28"/>
          <w:highlight w:val="none"/>
        </w:rPr>
        <w:t>医务人员履行乙方职责，合法经营。</w:t>
      </w:r>
      <w:r>
        <w:rPr>
          <w:rFonts w:hint="eastAsia"/>
          <w:sz w:val="28"/>
          <w:szCs w:val="28"/>
          <w:highlight w:val="none"/>
          <w:lang w:eastAsia="zh-CN"/>
        </w:rPr>
        <w:t>承担合同期内医疗服务活动中的医疗事故责任。</w:t>
      </w:r>
    </w:p>
    <w:p w14:paraId="7048BB97">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2、</w:t>
      </w:r>
      <w:r>
        <w:rPr>
          <w:rFonts w:hint="eastAsia"/>
          <w:sz w:val="28"/>
          <w:szCs w:val="28"/>
          <w:highlight w:val="none"/>
        </w:rPr>
        <w:t>医疗室医疗器械由乙方负责配备并保证能够正常使用</w:t>
      </w:r>
      <w:r>
        <w:rPr>
          <w:rFonts w:hint="eastAsia"/>
          <w:sz w:val="28"/>
          <w:szCs w:val="28"/>
          <w:highlight w:val="none"/>
          <w:lang w:eastAsia="zh-CN"/>
        </w:rPr>
        <w:t>。</w:t>
      </w:r>
      <w:r>
        <w:rPr>
          <w:rFonts w:hint="eastAsia"/>
          <w:sz w:val="28"/>
          <w:szCs w:val="28"/>
          <w:highlight w:val="none"/>
        </w:rPr>
        <w:t>应以优质医疗技术、良好的服务为甲方师生员工及应诊人员的疾病提供合理的治疗（包括急诊、重症病人会诊、转诊）。</w:t>
      </w:r>
    </w:p>
    <w:p w14:paraId="375C89BF">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3、</w:t>
      </w:r>
      <w:r>
        <w:rPr>
          <w:rFonts w:hint="eastAsia"/>
          <w:sz w:val="28"/>
          <w:szCs w:val="28"/>
          <w:highlight w:val="none"/>
          <w:lang w:eastAsia="zh-CN"/>
        </w:rPr>
        <w:t>乙方则协调处理市疾控部门和学校的相关事宜。</w:t>
      </w:r>
    </w:p>
    <w:p w14:paraId="1F1466A0">
      <w:pPr>
        <w:pStyle w:val="40"/>
        <w:numPr>
          <w:ilvl w:val="0"/>
          <w:numId w:val="0"/>
        </w:numPr>
        <w:ind w:leftChars="0" w:firstLine="560" w:firstLineChars="200"/>
        <w:rPr>
          <w:rFonts w:hint="eastAsia"/>
          <w:sz w:val="28"/>
          <w:szCs w:val="28"/>
          <w:highlight w:val="none"/>
          <w:lang w:eastAsia="zh-CN"/>
        </w:rPr>
      </w:pPr>
      <w:r>
        <w:rPr>
          <w:rFonts w:hint="eastAsia"/>
          <w:sz w:val="28"/>
          <w:szCs w:val="28"/>
          <w:highlight w:val="none"/>
          <w:lang w:val="en-US" w:eastAsia="zh-CN"/>
        </w:rPr>
        <w:t>4、</w:t>
      </w:r>
      <w:r>
        <w:rPr>
          <w:rFonts w:hint="eastAsia"/>
          <w:sz w:val="28"/>
          <w:szCs w:val="28"/>
          <w:highlight w:val="none"/>
          <w:lang w:eastAsia="zh-CN"/>
        </w:rPr>
        <w:t>负责承担</w:t>
      </w:r>
      <w:r>
        <w:rPr>
          <w:rFonts w:hint="eastAsia"/>
          <w:sz w:val="28"/>
          <w:szCs w:val="28"/>
          <w:highlight w:val="none"/>
        </w:rPr>
        <w:t>甲方</w:t>
      </w:r>
      <w:r>
        <w:rPr>
          <w:rFonts w:hint="eastAsia"/>
          <w:sz w:val="28"/>
          <w:szCs w:val="28"/>
          <w:highlight w:val="none"/>
          <w:lang w:eastAsia="zh-CN"/>
        </w:rPr>
        <w:t>在</w:t>
      </w:r>
      <w:r>
        <w:rPr>
          <w:rFonts w:hint="eastAsia"/>
          <w:sz w:val="28"/>
          <w:szCs w:val="28"/>
          <w:highlight w:val="none"/>
        </w:rPr>
        <w:t>校学生</w:t>
      </w:r>
      <w:r>
        <w:rPr>
          <w:rFonts w:hint="eastAsia"/>
          <w:sz w:val="28"/>
          <w:szCs w:val="28"/>
          <w:highlight w:val="none"/>
          <w:lang w:eastAsia="zh-CN"/>
        </w:rPr>
        <w:t>医疗保健的保障工作（教职工自愿），费用标准为：药品零差价、输液、换药等不高于社区卫生服务站标准（按投标承诺标准公示）。</w:t>
      </w:r>
    </w:p>
    <w:p w14:paraId="245A7422">
      <w:pPr>
        <w:pStyle w:val="40"/>
        <w:numPr>
          <w:ilvl w:val="0"/>
          <w:numId w:val="0"/>
        </w:numPr>
        <w:ind w:leftChars="0" w:firstLine="560" w:firstLineChars="200"/>
        <w:rPr>
          <w:rFonts w:hint="default"/>
          <w:sz w:val="28"/>
          <w:szCs w:val="28"/>
          <w:highlight w:val="none"/>
          <w:lang w:val="en-US" w:eastAsia="zh-CN"/>
        </w:rPr>
      </w:pPr>
      <w:r>
        <w:rPr>
          <w:rFonts w:hint="eastAsia"/>
          <w:sz w:val="28"/>
          <w:szCs w:val="28"/>
          <w:highlight w:val="none"/>
          <w:lang w:val="en-US" w:eastAsia="zh-CN"/>
        </w:rPr>
        <w:t>5、做好传染病防控工作，实行“学生病情证明登记备案制度”落实传染病登记及上报</w:t>
      </w:r>
    </w:p>
    <w:p w14:paraId="679333CB">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承担学校卫生防疫管理工作，负责制定学校</w:t>
      </w:r>
      <w:r>
        <w:rPr>
          <w:rFonts w:hint="eastAsia"/>
          <w:sz w:val="28"/>
          <w:szCs w:val="28"/>
          <w:highlight w:val="none"/>
          <w:lang w:eastAsia="zh-CN"/>
        </w:rPr>
        <w:t>医疗</w:t>
      </w:r>
      <w:r>
        <w:rPr>
          <w:rFonts w:hint="eastAsia"/>
          <w:sz w:val="28"/>
          <w:szCs w:val="28"/>
          <w:highlight w:val="none"/>
        </w:rPr>
        <w:t>卫生管理工作的目标和要求，</w:t>
      </w:r>
      <w:r>
        <w:rPr>
          <w:rFonts w:hint="eastAsia"/>
          <w:sz w:val="28"/>
          <w:szCs w:val="28"/>
          <w:highlight w:val="none"/>
          <w:lang w:eastAsia="zh-CN"/>
        </w:rPr>
        <w:t>认真做好学校健康教育宣传工作。</w:t>
      </w:r>
    </w:p>
    <w:p w14:paraId="77B327B1">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医护人员</w:t>
      </w:r>
      <w:r>
        <w:rPr>
          <w:rFonts w:hint="eastAsia"/>
          <w:sz w:val="28"/>
          <w:szCs w:val="28"/>
          <w:highlight w:val="none"/>
          <w:lang w:eastAsia="zh-CN"/>
        </w:rPr>
        <w:t>（白天必须保证</w:t>
      </w:r>
      <w:r>
        <w:rPr>
          <w:rFonts w:hint="eastAsia"/>
          <w:sz w:val="28"/>
          <w:szCs w:val="28"/>
          <w:highlight w:val="none"/>
          <w:lang w:val="en-US" w:eastAsia="zh-CN"/>
        </w:rPr>
        <w:t>1名医生在岗</w:t>
      </w:r>
      <w:r>
        <w:rPr>
          <w:rFonts w:hint="eastAsia"/>
          <w:sz w:val="28"/>
          <w:szCs w:val="28"/>
          <w:highlight w:val="none"/>
          <w:lang w:eastAsia="zh-CN"/>
        </w:rPr>
        <w:t>）实行</w:t>
      </w:r>
      <w:r>
        <w:rPr>
          <w:rFonts w:hint="eastAsia"/>
          <w:sz w:val="28"/>
          <w:szCs w:val="28"/>
          <w:highlight w:val="none"/>
        </w:rPr>
        <w:t>24小时</w:t>
      </w:r>
      <w:r>
        <w:rPr>
          <w:rFonts w:hint="eastAsia"/>
          <w:sz w:val="28"/>
          <w:szCs w:val="28"/>
          <w:highlight w:val="none"/>
          <w:lang w:eastAsia="zh-CN"/>
        </w:rPr>
        <w:t>上</w:t>
      </w:r>
      <w:r>
        <w:rPr>
          <w:rFonts w:hint="eastAsia"/>
          <w:sz w:val="28"/>
          <w:szCs w:val="28"/>
          <w:highlight w:val="none"/>
        </w:rPr>
        <w:t>班</w:t>
      </w:r>
      <w:r>
        <w:rPr>
          <w:rFonts w:hint="eastAsia"/>
          <w:sz w:val="28"/>
          <w:szCs w:val="28"/>
          <w:highlight w:val="none"/>
          <w:lang w:eastAsia="zh-CN"/>
        </w:rPr>
        <w:t>签到制，严禁酒后上岗；严禁脱岗、严禁做与医疗服务无关的活动事项，每发现一次处罚</w:t>
      </w:r>
      <w:r>
        <w:rPr>
          <w:rFonts w:hint="eastAsia"/>
          <w:sz w:val="28"/>
          <w:szCs w:val="28"/>
          <w:highlight w:val="none"/>
          <w:lang w:val="en-US" w:eastAsia="zh-CN"/>
        </w:rPr>
        <w:t>300元</w:t>
      </w:r>
      <w:r>
        <w:rPr>
          <w:rFonts w:hint="eastAsia"/>
          <w:sz w:val="28"/>
          <w:szCs w:val="28"/>
          <w:highlight w:val="none"/>
          <w:lang w:eastAsia="zh-CN"/>
        </w:rPr>
        <w:t>。</w:t>
      </w:r>
      <w:r>
        <w:rPr>
          <w:rFonts w:hint="eastAsia"/>
          <w:sz w:val="28"/>
          <w:szCs w:val="28"/>
          <w:highlight w:val="none"/>
          <w:lang w:val="en-US" w:eastAsia="zh-CN"/>
        </w:rPr>
        <w:t>认真防控落实学校各项防疫工作，做好</w:t>
      </w:r>
      <w:r>
        <w:rPr>
          <w:rFonts w:hint="eastAsia"/>
          <w:sz w:val="28"/>
          <w:szCs w:val="28"/>
          <w:highlight w:val="none"/>
        </w:rPr>
        <w:t>突发事件的应急方案，并负责组织实施。</w:t>
      </w:r>
    </w:p>
    <w:p w14:paraId="5FFF47C1">
      <w:pPr>
        <w:pStyle w:val="40"/>
        <w:numPr>
          <w:ilvl w:val="0"/>
          <w:numId w:val="0"/>
        </w:numPr>
        <w:ind w:leftChars="0" w:firstLine="560" w:firstLineChars="200"/>
        <w:rPr>
          <w:rFonts w:hint="eastAsia"/>
          <w:sz w:val="28"/>
          <w:szCs w:val="28"/>
          <w:highlight w:val="none"/>
        </w:rPr>
      </w:pPr>
      <w:r>
        <w:rPr>
          <w:rFonts w:hint="eastAsia"/>
          <w:sz w:val="28"/>
          <w:szCs w:val="28"/>
          <w:highlight w:val="none"/>
          <w:lang w:val="en-US" w:eastAsia="zh-CN"/>
        </w:rPr>
        <w:t>8、对学校开展的各项活动，提前做好医疗保障预案，认真做好学校各项活动师生健康保障工作。</w:t>
      </w:r>
    </w:p>
    <w:p w14:paraId="6EAB6F05">
      <w:pPr>
        <w:pStyle w:val="40"/>
        <w:numPr>
          <w:ilvl w:val="0"/>
          <w:numId w:val="0"/>
        </w:numPr>
        <w:ind w:leftChars="0" w:firstLine="560" w:firstLineChars="200"/>
        <w:rPr>
          <w:rFonts w:hint="eastAsia"/>
          <w:sz w:val="28"/>
          <w:szCs w:val="28"/>
          <w:highlight w:val="none"/>
          <w:lang w:val="en-US" w:eastAsia="zh-CN"/>
        </w:rPr>
      </w:pPr>
      <w:r>
        <w:rPr>
          <w:rFonts w:hint="eastAsia"/>
          <w:sz w:val="28"/>
          <w:szCs w:val="28"/>
          <w:highlight w:val="none"/>
          <w:lang w:val="en-US" w:eastAsia="zh-CN"/>
        </w:rPr>
        <w:t>9、辅助甲方做好学生健康体检工作，建立和管理学生健康档案。辅助甲方做好学校食堂食品卫生安全管理。</w:t>
      </w:r>
    </w:p>
    <w:p w14:paraId="38559B4C">
      <w:pPr>
        <w:pStyle w:val="40"/>
        <w:numPr>
          <w:ilvl w:val="0"/>
          <w:numId w:val="0"/>
        </w:numPr>
        <w:ind w:leftChars="0" w:firstLine="560" w:firstLineChars="200"/>
        <w:rPr>
          <w:rFonts w:hint="default"/>
          <w:sz w:val="28"/>
          <w:szCs w:val="28"/>
          <w:highlight w:val="none"/>
          <w:lang w:val="en-US" w:eastAsia="zh-CN"/>
        </w:rPr>
      </w:pPr>
      <w:r>
        <w:rPr>
          <w:rFonts w:hint="eastAsia"/>
          <w:sz w:val="28"/>
          <w:szCs w:val="28"/>
          <w:highlight w:val="none"/>
          <w:lang w:val="en-US" w:eastAsia="zh-CN"/>
        </w:rPr>
        <w:t>10、积极做好服务工作，自觉接受甲方监督检查，对甲方提出的问题，应及时整改。</w:t>
      </w:r>
    </w:p>
    <w:p w14:paraId="0C09B265">
      <w:pPr>
        <w:rPr>
          <w:rFonts w:hint="eastAsia"/>
          <w:sz w:val="28"/>
          <w:szCs w:val="28"/>
          <w:highlight w:val="none"/>
        </w:rPr>
      </w:pPr>
      <w:r>
        <w:rPr>
          <w:rFonts w:hint="eastAsia"/>
          <w:sz w:val="28"/>
          <w:szCs w:val="28"/>
          <w:highlight w:val="none"/>
        </w:rPr>
        <w:t>三、医疗保健内容及医疗人员工作职责：</w:t>
      </w:r>
    </w:p>
    <w:p w14:paraId="57276D33">
      <w:pPr>
        <w:pStyle w:val="40"/>
        <w:ind w:left="0" w:leftChars="0" w:firstLine="560" w:firstLineChars="200"/>
        <w:rPr>
          <w:rFonts w:hint="eastAsia"/>
          <w:sz w:val="28"/>
          <w:szCs w:val="28"/>
          <w:highlight w:val="none"/>
        </w:rPr>
      </w:pPr>
      <w:r>
        <w:rPr>
          <w:rFonts w:hint="eastAsia"/>
          <w:sz w:val="28"/>
          <w:szCs w:val="28"/>
          <w:highlight w:val="none"/>
        </w:rPr>
        <w:t>医疗保健是根据《学校卫生工作条例》的规定而设，主要负责</w:t>
      </w:r>
    </w:p>
    <w:p w14:paraId="1C5D00BF">
      <w:pPr>
        <w:pStyle w:val="40"/>
        <w:ind w:left="0" w:leftChars="0" w:firstLine="0" w:firstLineChars="0"/>
        <w:rPr>
          <w:rFonts w:hint="eastAsia" w:eastAsia="宋体"/>
          <w:sz w:val="28"/>
          <w:szCs w:val="28"/>
          <w:highlight w:val="none"/>
          <w:lang w:eastAsia="zh-CN"/>
        </w:rPr>
      </w:pPr>
      <w:r>
        <w:rPr>
          <w:rFonts w:hint="eastAsia"/>
          <w:sz w:val="28"/>
          <w:szCs w:val="28"/>
          <w:highlight w:val="none"/>
          <w:lang w:eastAsia="zh-CN"/>
        </w:rPr>
        <w:t>对</w:t>
      </w:r>
      <w:r>
        <w:rPr>
          <w:rFonts w:hint="eastAsia"/>
          <w:sz w:val="28"/>
          <w:szCs w:val="28"/>
          <w:highlight w:val="none"/>
        </w:rPr>
        <w:t>校园内的卫生</w:t>
      </w:r>
      <w:r>
        <w:rPr>
          <w:rFonts w:hint="eastAsia"/>
          <w:sz w:val="28"/>
          <w:szCs w:val="28"/>
          <w:highlight w:val="none"/>
          <w:lang w:eastAsia="zh-CN"/>
        </w:rPr>
        <w:t>健康</w:t>
      </w:r>
      <w:r>
        <w:rPr>
          <w:rFonts w:hint="eastAsia"/>
          <w:sz w:val="28"/>
          <w:szCs w:val="28"/>
          <w:highlight w:val="none"/>
        </w:rPr>
        <w:t>管理</w:t>
      </w:r>
      <w:r>
        <w:rPr>
          <w:rFonts w:hint="eastAsia"/>
          <w:sz w:val="28"/>
          <w:szCs w:val="28"/>
          <w:highlight w:val="none"/>
          <w:lang w:eastAsia="zh-CN"/>
        </w:rPr>
        <w:t>。</w:t>
      </w:r>
    </w:p>
    <w:p w14:paraId="60A16FA4">
      <w:pPr>
        <w:pStyle w:val="40"/>
        <w:numPr>
          <w:ilvl w:val="0"/>
          <w:numId w:val="0"/>
        </w:numPr>
        <w:ind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负责全院师生员工的</w:t>
      </w:r>
      <w:r>
        <w:rPr>
          <w:rFonts w:hint="eastAsia"/>
          <w:sz w:val="28"/>
          <w:szCs w:val="28"/>
          <w:highlight w:val="none"/>
          <w:lang w:eastAsia="zh-CN"/>
        </w:rPr>
        <w:t>医疗</w:t>
      </w:r>
      <w:r>
        <w:rPr>
          <w:rFonts w:hint="eastAsia"/>
          <w:sz w:val="28"/>
          <w:szCs w:val="28"/>
          <w:highlight w:val="none"/>
        </w:rPr>
        <w:t>卫生</w:t>
      </w:r>
      <w:r>
        <w:rPr>
          <w:rFonts w:hint="eastAsia"/>
          <w:sz w:val="28"/>
          <w:szCs w:val="28"/>
          <w:highlight w:val="none"/>
          <w:lang w:eastAsia="zh-CN"/>
        </w:rPr>
        <w:t>及</w:t>
      </w:r>
      <w:r>
        <w:rPr>
          <w:rFonts w:hint="eastAsia"/>
          <w:sz w:val="28"/>
          <w:szCs w:val="28"/>
          <w:highlight w:val="none"/>
        </w:rPr>
        <w:t>保健工作和</w:t>
      </w:r>
      <w:r>
        <w:rPr>
          <w:rFonts w:hint="eastAsia"/>
          <w:sz w:val="28"/>
          <w:szCs w:val="28"/>
          <w:highlight w:val="none"/>
          <w:lang w:eastAsia="zh-CN"/>
        </w:rPr>
        <w:t>传染</w:t>
      </w:r>
      <w:r>
        <w:rPr>
          <w:rFonts w:hint="eastAsia"/>
          <w:sz w:val="28"/>
          <w:szCs w:val="28"/>
          <w:highlight w:val="none"/>
        </w:rPr>
        <w:t>病预防工作。</w:t>
      </w:r>
    </w:p>
    <w:p w14:paraId="5CFC91E3">
      <w:pPr>
        <w:pStyle w:val="40"/>
        <w:numPr>
          <w:ilvl w:val="0"/>
          <w:numId w:val="0"/>
        </w:numPr>
        <w:ind w:firstLine="560" w:firstLineChars="200"/>
        <w:rPr>
          <w:rFonts w:hint="eastAsia"/>
          <w:sz w:val="28"/>
          <w:szCs w:val="28"/>
          <w:highlight w:val="none"/>
        </w:rPr>
      </w:pPr>
      <w:r>
        <w:rPr>
          <w:rFonts w:hint="eastAsia"/>
          <w:sz w:val="28"/>
          <w:szCs w:val="28"/>
          <w:highlight w:val="none"/>
          <w:lang w:val="en-US" w:eastAsia="zh-CN"/>
        </w:rPr>
        <w:t>2、</w:t>
      </w:r>
      <w:r>
        <w:rPr>
          <w:rFonts w:hint="eastAsia"/>
          <w:sz w:val="28"/>
          <w:szCs w:val="28"/>
          <w:highlight w:val="none"/>
          <w:lang w:eastAsia="zh-CN"/>
        </w:rPr>
        <w:t>医务人员配合对学校食堂进行食品卫生安全检查并做好记录；发现问题及时上报。</w:t>
      </w:r>
    </w:p>
    <w:p w14:paraId="63F8B03A">
      <w:pPr>
        <w:pStyle w:val="40"/>
        <w:numPr>
          <w:ilvl w:val="0"/>
          <w:numId w:val="0"/>
        </w:numPr>
        <w:ind w:firstLine="560" w:firstLineChars="200"/>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负责制定</w:t>
      </w:r>
      <w:r>
        <w:rPr>
          <w:rFonts w:hint="eastAsia"/>
          <w:sz w:val="28"/>
          <w:szCs w:val="28"/>
          <w:highlight w:val="none"/>
          <w:lang w:eastAsia="zh-CN"/>
        </w:rPr>
        <w:t>医务室医疗</w:t>
      </w:r>
      <w:r>
        <w:rPr>
          <w:rFonts w:hint="eastAsia"/>
          <w:sz w:val="28"/>
          <w:szCs w:val="28"/>
          <w:highlight w:val="none"/>
        </w:rPr>
        <w:t>卫生工作突发事件的应急方案和学校卫生工作和要求。</w:t>
      </w:r>
    </w:p>
    <w:p w14:paraId="71596C84">
      <w:pPr>
        <w:pStyle w:val="40"/>
        <w:numPr>
          <w:ilvl w:val="0"/>
          <w:numId w:val="0"/>
        </w:numPr>
        <w:ind w:firstLine="560" w:firstLineChars="200"/>
        <w:rPr>
          <w:rFonts w:hint="eastAsia"/>
          <w:sz w:val="28"/>
          <w:szCs w:val="28"/>
          <w:highlight w:val="none"/>
        </w:rPr>
      </w:pPr>
      <w:r>
        <w:rPr>
          <w:rFonts w:hint="eastAsia"/>
          <w:sz w:val="28"/>
          <w:szCs w:val="28"/>
          <w:highlight w:val="none"/>
          <w:lang w:val="en-US" w:eastAsia="zh-CN"/>
        </w:rPr>
        <w:t>4、</w:t>
      </w:r>
      <w:r>
        <w:rPr>
          <w:rFonts w:hint="eastAsia"/>
          <w:sz w:val="28"/>
          <w:szCs w:val="28"/>
          <w:highlight w:val="none"/>
        </w:rPr>
        <w:t>根据《</w:t>
      </w:r>
      <w:r>
        <w:rPr>
          <w:rFonts w:hint="eastAsia"/>
          <w:sz w:val="28"/>
          <w:szCs w:val="28"/>
          <w:highlight w:val="none"/>
          <w:lang w:eastAsia="zh-CN"/>
        </w:rPr>
        <w:t>中华人民共和国传染病防治法</w:t>
      </w:r>
      <w:r>
        <w:rPr>
          <w:rFonts w:hint="eastAsia"/>
          <w:sz w:val="28"/>
          <w:szCs w:val="28"/>
          <w:highlight w:val="none"/>
        </w:rPr>
        <w:t>》和《食品卫生法》</w:t>
      </w:r>
      <w:r>
        <w:rPr>
          <w:rFonts w:hint="eastAsia"/>
          <w:sz w:val="28"/>
          <w:szCs w:val="28"/>
          <w:highlight w:val="none"/>
          <w:lang w:eastAsia="zh-CN"/>
        </w:rPr>
        <w:t>，</w:t>
      </w:r>
      <w:r>
        <w:rPr>
          <w:rFonts w:hint="eastAsia"/>
          <w:sz w:val="28"/>
          <w:szCs w:val="28"/>
          <w:highlight w:val="none"/>
        </w:rPr>
        <w:t>对食堂、公寓</w:t>
      </w:r>
      <w:r>
        <w:rPr>
          <w:rFonts w:hint="eastAsia"/>
          <w:sz w:val="28"/>
          <w:szCs w:val="28"/>
          <w:highlight w:val="none"/>
          <w:lang w:eastAsia="zh-CN"/>
        </w:rPr>
        <w:t>等公共场所</w:t>
      </w:r>
      <w:r>
        <w:rPr>
          <w:rFonts w:hint="eastAsia"/>
          <w:sz w:val="28"/>
          <w:szCs w:val="28"/>
          <w:highlight w:val="none"/>
        </w:rPr>
        <w:t>的卫生状况，进行监督管理</w:t>
      </w:r>
      <w:r>
        <w:rPr>
          <w:rFonts w:hint="eastAsia"/>
          <w:sz w:val="28"/>
          <w:szCs w:val="28"/>
          <w:highlight w:val="none"/>
          <w:lang w:eastAsia="zh-CN"/>
        </w:rPr>
        <w:t>，</w:t>
      </w:r>
      <w:r>
        <w:rPr>
          <w:rFonts w:hint="eastAsia"/>
          <w:sz w:val="28"/>
          <w:szCs w:val="28"/>
          <w:highlight w:val="none"/>
        </w:rPr>
        <w:t>提供</w:t>
      </w:r>
      <w:r>
        <w:rPr>
          <w:rFonts w:hint="eastAsia"/>
          <w:sz w:val="28"/>
          <w:szCs w:val="28"/>
          <w:highlight w:val="none"/>
          <w:lang w:eastAsia="zh-CN"/>
        </w:rPr>
        <w:t>消杀工作</w:t>
      </w:r>
      <w:r>
        <w:rPr>
          <w:rFonts w:hint="eastAsia"/>
          <w:sz w:val="28"/>
          <w:szCs w:val="28"/>
          <w:highlight w:val="none"/>
        </w:rPr>
        <w:t>药品</w:t>
      </w:r>
      <w:r>
        <w:rPr>
          <w:rFonts w:hint="eastAsia"/>
          <w:sz w:val="28"/>
          <w:szCs w:val="28"/>
          <w:highlight w:val="none"/>
          <w:lang w:eastAsia="zh-CN"/>
        </w:rPr>
        <w:t>配备的</w:t>
      </w:r>
      <w:r>
        <w:rPr>
          <w:rFonts w:hint="eastAsia"/>
          <w:sz w:val="28"/>
          <w:szCs w:val="28"/>
          <w:highlight w:val="none"/>
        </w:rPr>
        <w:t>技术指导。卫生监督、卫生消毒均应进行造册记录（每</w:t>
      </w:r>
      <w:r>
        <w:rPr>
          <w:rFonts w:hint="eastAsia"/>
          <w:sz w:val="28"/>
          <w:szCs w:val="28"/>
          <w:highlight w:val="none"/>
          <w:lang w:eastAsia="zh-CN"/>
        </w:rPr>
        <w:t>月</w:t>
      </w:r>
      <w:r>
        <w:rPr>
          <w:rFonts w:hint="eastAsia"/>
          <w:sz w:val="28"/>
          <w:szCs w:val="28"/>
          <w:highlight w:val="none"/>
        </w:rPr>
        <w:t>不少于2次）。</w:t>
      </w:r>
    </w:p>
    <w:p w14:paraId="01BAAF50">
      <w:pPr>
        <w:pStyle w:val="40"/>
        <w:numPr>
          <w:ilvl w:val="0"/>
          <w:numId w:val="0"/>
        </w:numPr>
        <w:ind w:firstLine="560" w:firstLineChars="200"/>
        <w:rPr>
          <w:rFonts w:hint="eastAsia"/>
          <w:sz w:val="28"/>
          <w:szCs w:val="28"/>
          <w:highlight w:val="none"/>
        </w:rPr>
      </w:pPr>
      <w:r>
        <w:rPr>
          <w:rFonts w:hint="eastAsia"/>
          <w:sz w:val="28"/>
          <w:szCs w:val="28"/>
          <w:highlight w:val="none"/>
          <w:lang w:val="en-US" w:eastAsia="zh-CN"/>
        </w:rPr>
        <w:t>5、</w:t>
      </w:r>
      <w:r>
        <w:rPr>
          <w:rFonts w:hint="eastAsia"/>
          <w:sz w:val="28"/>
          <w:szCs w:val="28"/>
          <w:highlight w:val="none"/>
        </w:rPr>
        <w:t>做好学生的健康检查、传染病的预防和常见病矫治工作。如：弱视、沙眼、龋齿、寄生虫、营养不良、贫血、脊柱弯曲、神经衰弱</w:t>
      </w:r>
      <w:r>
        <w:rPr>
          <w:rFonts w:hint="eastAsia"/>
          <w:sz w:val="28"/>
          <w:szCs w:val="28"/>
          <w:highlight w:val="none"/>
          <w:lang w:eastAsia="zh-CN"/>
        </w:rPr>
        <w:t>；每年开展春秋季传染病防治宣传及健康教育活动（必须进行肺结核病、艾滋病健康教育</w:t>
      </w:r>
      <w:r>
        <w:rPr>
          <w:rFonts w:hint="eastAsia"/>
          <w:sz w:val="28"/>
          <w:szCs w:val="28"/>
          <w:highlight w:val="none"/>
        </w:rPr>
        <w:t>等</w:t>
      </w:r>
      <w:r>
        <w:rPr>
          <w:rFonts w:hint="eastAsia"/>
          <w:sz w:val="28"/>
          <w:szCs w:val="28"/>
          <w:highlight w:val="none"/>
          <w:lang w:eastAsia="zh-CN"/>
        </w:rPr>
        <w:t>）</w:t>
      </w:r>
      <w:r>
        <w:rPr>
          <w:rFonts w:hint="eastAsia"/>
          <w:sz w:val="28"/>
          <w:szCs w:val="28"/>
          <w:highlight w:val="none"/>
        </w:rPr>
        <w:t>。</w:t>
      </w:r>
    </w:p>
    <w:p w14:paraId="7F759124">
      <w:pPr>
        <w:pStyle w:val="40"/>
        <w:numPr>
          <w:ilvl w:val="0"/>
          <w:numId w:val="0"/>
        </w:numPr>
        <w:ind w:firstLine="560" w:firstLineChars="200"/>
        <w:rPr>
          <w:rFonts w:hint="eastAsia"/>
          <w:b w:val="0"/>
          <w:bCs w:val="0"/>
          <w:sz w:val="28"/>
          <w:szCs w:val="28"/>
          <w:highlight w:val="none"/>
        </w:rPr>
      </w:pPr>
      <w:r>
        <w:rPr>
          <w:rFonts w:hint="eastAsia"/>
          <w:sz w:val="28"/>
          <w:szCs w:val="28"/>
          <w:highlight w:val="none"/>
          <w:lang w:val="en-US" w:eastAsia="zh-CN"/>
        </w:rPr>
        <w:t>6、</w:t>
      </w:r>
      <w:r>
        <w:rPr>
          <w:rFonts w:hint="eastAsia"/>
          <w:sz w:val="28"/>
          <w:szCs w:val="28"/>
          <w:highlight w:val="none"/>
        </w:rPr>
        <w:t>做好学生健康状况监测工作，建立学生健康卡片（档案）。并对此进行认真统计、分析、上报。并按省“学校卫生工作条例检查评</w:t>
      </w:r>
      <w:r>
        <w:rPr>
          <w:rFonts w:hint="eastAsia"/>
          <w:b w:val="0"/>
          <w:bCs w:val="0"/>
          <w:sz w:val="28"/>
          <w:szCs w:val="28"/>
          <w:highlight w:val="none"/>
        </w:rPr>
        <w:t>估细则”建立健全档案资料。</w:t>
      </w:r>
    </w:p>
    <w:p w14:paraId="127654F3">
      <w:pPr>
        <w:pStyle w:val="40"/>
        <w:numPr>
          <w:ilvl w:val="0"/>
          <w:numId w:val="0"/>
        </w:numPr>
        <w:rPr>
          <w:rFonts w:hint="eastAsia"/>
          <w:b w:val="0"/>
          <w:bCs w:val="0"/>
          <w:sz w:val="28"/>
          <w:szCs w:val="28"/>
          <w:highlight w:val="none"/>
          <w:lang w:eastAsia="zh-CN"/>
        </w:rPr>
      </w:pPr>
      <w:r>
        <w:rPr>
          <w:rFonts w:hint="eastAsia"/>
          <w:b w:val="0"/>
          <w:bCs w:val="0"/>
          <w:sz w:val="28"/>
          <w:szCs w:val="28"/>
          <w:highlight w:val="none"/>
          <w:lang w:eastAsia="zh-CN"/>
        </w:rPr>
        <w:t>四、付款方式：</w:t>
      </w:r>
    </w:p>
    <w:p w14:paraId="64E21D30">
      <w:pPr>
        <w:rPr>
          <w:rFonts w:hint="eastAsia"/>
          <w:b w:val="0"/>
          <w:bCs w:val="0"/>
          <w:sz w:val="28"/>
          <w:szCs w:val="28"/>
          <w:highlight w:val="none"/>
          <w:lang w:eastAsia="zh-CN"/>
        </w:rPr>
      </w:pPr>
      <w:r>
        <w:rPr>
          <w:rFonts w:hint="eastAsia"/>
          <w:b w:val="0"/>
          <w:bCs w:val="0"/>
          <w:sz w:val="28"/>
          <w:szCs w:val="28"/>
          <w:highlight w:val="none"/>
          <w:lang w:eastAsia="zh-CN"/>
        </w:rPr>
        <w:t>每半年支付一次，每半年服务期结束支付上半年的服务费用。</w:t>
      </w:r>
    </w:p>
    <w:p w14:paraId="62945CCF">
      <w:pPr>
        <w:rPr>
          <w:rFonts w:hint="eastAsia"/>
          <w:sz w:val="28"/>
          <w:szCs w:val="28"/>
          <w:highlight w:val="none"/>
        </w:rPr>
      </w:pPr>
      <w:r>
        <w:rPr>
          <w:rFonts w:hint="eastAsia"/>
          <w:sz w:val="28"/>
          <w:szCs w:val="28"/>
          <w:highlight w:val="none"/>
          <w:lang w:eastAsia="zh-CN"/>
        </w:rPr>
        <w:t>五</w:t>
      </w:r>
      <w:r>
        <w:rPr>
          <w:rFonts w:hint="eastAsia"/>
          <w:sz w:val="28"/>
          <w:szCs w:val="28"/>
          <w:highlight w:val="none"/>
        </w:rPr>
        <w:t>、合同期满，乙方应无条件向甲方移交学生健康档案。乙方应保证甲方资产处于良好使用状态。</w:t>
      </w:r>
    </w:p>
    <w:p w14:paraId="0CC53DAC">
      <w:pPr>
        <w:rPr>
          <w:rFonts w:hint="eastAsia"/>
          <w:sz w:val="28"/>
          <w:szCs w:val="28"/>
          <w:highlight w:val="none"/>
        </w:rPr>
      </w:pPr>
      <w:r>
        <w:rPr>
          <w:rFonts w:hint="eastAsia"/>
          <w:sz w:val="28"/>
          <w:szCs w:val="28"/>
          <w:highlight w:val="none"/>
          <w:lang w:eastAsia="zh-CN"/>
        </w:rPr>
        <w:t>六</w:t>
      </w:r>
      <w:r>
        <w:rPr>
          <w:rFonts w:hint="eastAsia"/>
          <w:sz w:val="28"/>
          <w:szCs w:val="28"/>
          <w:highlight w:val="none"/>
        </w:rPr>
        <w:t>、合</w:t>
      </w:r>
      <w:r>
        <w:rPr>
          <w:rFonts w:hint="eastAsia"/>
          <w:sz w:val="28"/>
          <w:szCs w:val="28"/>
          <w:highlight w:val="none"/>
          <w:lang w:eastAsia="zh-CN"/>
        </w:rPr>
        <w:t>同</w:t>
      </w:r>
      <w:r>
        <w:rPr>
          <w:rFonts w:hint="eastAsia"/>
          <w:sz w:val="28"/>
          <w:szCs w:val="28"/>
          <w:highlight w:val="none"/>
        </w:rPr>
        <w:t>期内</w:t>
      </w:r>
      <w:r>
        <w:rPr>
          <w:rFonts w:hint="eastAsia"/>
          <w:sz w:val="28"/>
          <w:szCs w:val="28"/>
          <w:highlight w:val="none"/>
          <w:lang w:eastAsia="zh-CN"/>
        </w:rPr>
        <w:t>，</w:t>
      </w:r>
      <w:r>
        <w:rPr>
          <w:rFonts w:hint="eastAsia"/>
          <w:sz w:val="28"/>
          <w:szCs w:val="28"/>
          <w:highlight w:val="none"/>
        </w:rPr>
        <w:t>甲、乙双方应严格遵守承诺，如若违约，应</w:t>
      </w:r>
      <w:r>
        <w:rPr>
          <w:rFonts w:hint="eastAsia"/>
          <w:sz w:val="28"/>
          <w:szCs w:val="28"/>
          <w:highlight w:val="none"/>
          <w:lang w:eastAsia="zh-CN"/>
        </w:rPr>
        <w:t>给予</w:t>
      </w:r>
      <w:r>
        <w:rPr>
          <w:rFonts w:hint="eastAsia"/>
          <w:sz w:val="28"/>
          <w:szCs w:val="28"/>
          <w:highlight w:val="none"/>
        </w:rPr>
        <w:t>对方五</w:t>
      </w:r>
      <w:r>
        <w:rPr>
          <w:rFonts w:hint="eastAsia"/>
          <w:sz w:val="28"/>
          <w:szCs w:val="28"/>
          <w:highlight w:val="none"/>
          <w:lang w:eastAsia="zh-CN"/>
        </w:rPr>
        <w:t>仟</w:t>
      </w:r>
      <w:r>
        <w:rPr>
          <w:rFonts w:hint="eastAsia"/>
          <w:sz w:val="28"/>
          <w:szCs w:val="28"/>
          <w:highlight w:val="none"/>
        </w:rPr>
        <w:t>至</w:t>
      </w:r>
      <w:r>
        <w:rPr>
          <w:rFonts w:hint="eastAsia"/>
          <w:sz w:val="28"/>
          <w:szCs w:val="28"/>
          <w:highlight w:val="none"/>
          <w:lang w:eastAsia="zh-CN"/>
        </w:rPr>
        <w:t>壹</w:t>
      </w:r>
      <w:r>
        <w:rPr>
          <w:rFonts w:hint="eastAsia"/>
          <w:sz w:val="28"/>
          <w:szCs w:val="28"/>
          <w:highlight w:val="none"/>
        </w:rPr>
        <w:t>万元赔偿。</w:t>
      </w:r>
    </w:p>
    <w:p w14:paraId="69185597">
      <w:pPr>
        <w:rPr>
          <w:rFonts w:hint="eastAsia"/>
          <w:sz w:val="28"/>
          <w:szCs w:val="28"/>
          <w:highlight w:val="none"/>
        </w:rPr>
      </w:pPr>
      <w:r>
        <w:rPr>
          <w:rFonts w:hint="eastAsia"/>
          <w:sz w:val="28"/>
          <w:szCs w:val="28"/>
          <w:highlight w:val="none"/>
          <w:lang w:eastAsia="zh-CN"/>
        </w:rPr>
        <w:t>八、</w:t>
      </w:r>
      <w:r>
        <w:rPr>
          <w:rFonts w:hint="eastAsia"/>
          <w:sz w:val="28"/>
          <w:szCs w:val="28"/>
          <w:highlight w:val="none"/>
        </w:rPr>
        <w:t>合同未尽事宜，双方协商解决。</w:t>
      </w:r>
    </w:p>
    <w:p w14:paraId="2903EC21">
      <w:pPr>
        <w:rPr>
          <w:rFonts w:hint="eastAsia"/>
          <w:sz w:val="28"/>
          <w:szCs w:val="28"/>
          <w:highlight w:val="none"/>
        </w:rPr>
      </w:pPr>
      <w:r>
        <w:rPr>
          <w:rFonts w:hint="eastAsia"/>
          <w:sz w:val="28"/>
          <w:szCs w:val="28"/>
          <w:highlight w:val="none"/>
          <w:lang w:eastAsia="zh-CN"/>
        </w:rPr>
        <w:t>九</w:t>
      </w:r>
      <w:r>
        <w:rPr>
          <w:rFonts w:hint="eastAsia"/>
          <w:sz w:val="28"/>
          <w:szCs w:val="28"/>
          <w:highlight w:val="none"/>
        </w:rPr>
        <w:t>、合同有效期</w:t>
      </w:r>
      <w:r>
        <w:rPr>
          <w:rFonts w:hint="eastAsia"/>
          <w:sz w:val="28"/>
          <w:szCs w:val="28"/>
          <w:highlight w:val="none"/>
          <w:lang w:eastAsia="zh-CN"/>
        </w:rPr>
        <w:t>二</w:t>
      </w:r>
      <w:r>
        <w:rPr>
          <w:rFonts w:hint="eastAsia"/>
          <w:sz w:val="28"/>
          <w:szCs w:val="28"/>
          <w:highlight w:val="none"/>
        </w:rPr>
        <w:t>年</w:t>
      </w:r>
      <w:r>
        <w:rPr>
          <w:rFonts w:hint="eastAsia"/>
          <w:sz w:val="28"/>
          <w:szCs w:val="28"/>
          <w:highlight w:val="none"/>
          <w:lang w:eastAsia="zh-CN"/>
        </w:rPr>
        <w:t>（合同生效时间为：自乙方办好所有证件，正常营业服务开始）</w:t>
      </w:r>
      <w:r>
        <w:rPr>
          <w:rFonts w:hint="eastAsia"/>
          <w:sz w:val="28"/>
          <w:szCs w:val="28"/>
          <w:highlight w:val="none"/>
        </w:rPr>
        <w:t>，</w:t>
      </w:r>
      <w:r>
        <w:rPr>
          <w:rFonts w:hint="eastAsia"/>
          <w:sz w:val="28"/>
          <w:szCs w:val="28"/>
          <w:highlight w:val="none"/>
          <w:lang w:eastAsia="zh-CN"/>
        </w:rPr>
        <w:t>即</w:t>
      </w:r>
      <w:r>
        <w:rPr>
          <w:rFonts w:hint="eastAsia"/>
          <w:sz w:val="28"/>
          <w:szCs w:val="28"/>
          <w:highlight w:val="none"/>
        </w:rPr>
        <w:t xml:space="preserve">自     年  </w:t>
      </w:r>
      <w:r>
        <w:rPr>
          <w:rFonts w:hint="eastAsia"/>
          <w:sz w:val="28"/>
          <w:szCs w:val="28"/>
          <w:highlight w:val="none"/>
          <w:lang w:val="en-US" w:eastAsia="zh-CN"/>
        </w:rPr>
        <w:t xml:space="preserve"> </w:t>
      </w:r>
      <w:r>
        <w:rPr>
          <w:rFonts w:hint="eastAsia"/>
          <w:sz w:val="28"/>
          <w:szCs w:val="28"/>
          <w:highlight w:val="none"/>
        </w:rPr>
        <w:t>月   日起至   年   月   日</w:t>
      </w:r>
      <w:r>
        <w:rPr>
          <w:rFonts w:hint="eastAsia"/>
          <w:sz w:val="28"/>
          <w:szCs w:val="28"/>
          <w:highlight w:val="none"/>
          <w:lang w:val="en-US" w:eastAsia="zh-CN"/>
        </w:rPr>
        <w:t xml:space="preserve">   </w:t>
      </w:r>
      <w:r>
        <w:rPr>
          <w:rFonts w:hint="eastAsia"/>
          <w:sz w:val="28"/>
          <w:szCs w:val="28"/>
          <w:highlight w:val="none"/>
        </w:rPr>
        <w:t>止</w:t>
      </w:r>
      <w:r>
        <w:rPr>
          <w:rFonts w:hint="eastAsia"/>
          <w:sz w:val="28"/>
          <w:szCs w:val="28"/>
          <w:highlight w:val="none"/>
          <w:lang w:eastAsia="zh-CN"/>
        </w:rPr>
        <w:t>（具体服务人员工资支付，从医疗服务许可证颁发日的下月</w:t>
      </w:r>
      <w:r>
        <w:rPr>
          <w:rFonts w:hint="eastAsia"/>
          <w:sz w:val="28"/>
          <w:szCs w:val="28"/>
          <w:highlight w:val="none"/>
          <w:lang w:val="en-US" w:eastAsia="zh-CN"/>
        </w:rPr>
        <w:t>10</w:t>
      </w:r>
      <w:r>
        <w:rPr>
          <w:rFonts w:hint="eastAsia"/>
          <w:sz w:val="28"/>
          <w:szCs w:val="28"/>
          <w:highlight w:val="none"/>
          <w:lang w:eastAsia="zh-CN"/>
        </w:rPr>
        <w:t>起支付）</w:t>
      </w:r>
      <w:r>
        <w:rPr>
          <w:rFonts w:hint="eastAsia"/>
          <w:sz w:val="28"/>
          <w:szCs w:val="28"/>
          <w:highlight w:val="none"/>
        </w:rPr>
        <w:t>。</w:t>
      </w:r>
    </w:p>
    <w:p w14:paraId="2016E539">
      <w:pPr>
        <w:rPr>
          <w:rFonts w:hint="eastAsia"/>
          <w:sz w:val="28"/>
          <w:szCs w:val="28"/>
          <w:highlight w:val="none"/>
        </w:rPr>
      </w:pPr>
      <w:r>
        <w:rPr>
          <w:rFonts w:hint="eastAsia"/>
          <w:sz w:val="28"/>
          <w:szCs w:val="28"/>
          <w:highlight w:val="none"/>
          <w:lang w:eastAsia="zh-CN"/>
        </w:rPr>
        <w:t>十</w:t>
      </w:r>
      <w:r>
        <w:rPr>
          <w:rFonts w:hint="eastAsia"/>
          <w:sz w:val="28"/>
          <w:szCs w:val="28"/>
          <w:highlight w:val="none"/>
        </w:rPr>
        <w:t>、本合同一式四份，双方各执两份，自签字之日起生效。</w:t>
      </w:r>
    </w:p>
    <w:p w14:paraId="16D697E5">
      <w:pPr>
        <w:rPr>
          <w:rFonts w:hint="eastAsia"/>
          <w:sz w:val="28"/>
          <w:szCs w:val="28"/>
          <w:highlight w:val="none"/>
        </w:rPr>
      </w:pPr>
    </w:p>
    <w:p w14:paraId="2DBB8C86">
      <w:pPr>
        <w:rPr>
          <w:rFonts w:hint="eastAsia"/>
          <w:sz w:val="28"/>
          <w:szCs w:val="28"/>
          <w:highlight w:val="none"/>
        </w:rPr>
      </w:pPr>
      <w:r>
        <w:rPr>
          <w:rFonts w:hint="eastAsia"/>
          <w:sz w:val="28"/>
          <w:szCs w:val="28"/>
          <w:highlight w:val="none"/>
        </w:rPr>
        <w:t>甲方（盖章）：                             乙方（盖章）：</w:t>
      </w:r>
    </w:p>
    <w:p w14:paraId="0A8F32DF">
      <w:pPr>
        <w:rPr>
          <w:rFonts w:hint="eastAsia"/>
          <w:sz w:val="28"/>
          <w:szCs w:val="28"/>
          <w:highlight w:val="none"/>
        </w:rPr>
      </w:pPr>
    </w:p>
    <w:p w14:paraId="068B338D">
      <w:pPr>
        <w:rPr>
          <w:rFonts w:hint="eastAsia"/>
          <w:sz w:val="28"/>
          <w:szCs w:val="28"/>
          <w:highlight w:val="none"/>
        </w:rPr>
      </w:pPr>
      <w:r>
        <w:rPr>
          <w:rFonts w:hint="eastAsia"/>
          <w:sz w:val="28"/>
          <w:szCs w:val="28"/>
          <w:highlight w:val="none"/>
        </w:rPr>
        <w:t>甲方代表签字：                           乙方代表签字：</w:t>
      </w:r>
    </w:p>
    <w:p w14:paraId="1B93A40F">
      <w:pPr>
        <w:spacing w:line="360" w:lineRule="auto"/>
        <w:jc w:val="both"/>
        <w:outlineLvl w:val="0"/>
        <w:rPr>
          <w:rFonts w:hint="eastAsia"/>
          <w:sz w:val="28"/>
          <w:szCs w:val="28"/>
          <w:highlight w:val="none"/>
        </w:rPr>
      </w:pPr>
    </w:p>
    <w:p w14:paraId="27A89793">
      <w:pPr>
        <w:spacing w:line="360" w:lineRule="auto"/>
        <w:jc w:val="both"/>
        <w:outlineLvl w:val="0"/>
        <w:rPr>
          <w:rFonts w:hint="eastAsia" w:ascii="宋体" w:hAnsi="宋体" w:eastAsia="宋体" w:cs="宋体"/>
          <w:color w:val="auto"/>
          <w:sz w:val="24"/>
          <w:szCs w:val="24"/>
          <w:highlight w:val="none"/>
        </w:rPr>
      </w:pPr>
      <w:r>
        <w:rPr>
          <w:rFonts w:hint="eastAsia"/>
          <w:sz w:val="28"/>
          <w:szCs w:val="28"/>
          <w:highlight w:val="none"/>
        </w:rPr>
        <w:t>年     月     日                      年     月     日</w:t>
      </w:r>
    </w:p>
    <w:p w14:paraId="4940BFF5">
      <w:pPr>
        <w:spacing w:line="360" w:lineRule="auto"/>
        <w:ind w:firstLine="720" w:firstLineChars="300"/>
        <w:jc w:val="center"/>
        <w:outlineLvl w:val="0"/>
        <w:rPr>
          <w:rFonts w:hint="eastAsia" w:ascii="宋体" w:hAnsi="宋体" w:eastAsia="宋体" w:cs="宋体"/>
          <w:color w:val="auto"/>
          <w:sz w:val="24"/>
          <w:szCs w:val="24"/>
          <w:highlight w:val="none"/>
        </w:rPr>
      </w:pPr>
    </w:p>
    <w:p w14:paraId="2A96CD14">
      <w:pPr>
        <w:spacing w:line="360" w:lineRule="auto"/>
        <w:ind w:firstLine="720" w:firstLineChars="300"/>
        <w:jc w:val="center"/>
        <w:outlineLvl w:val="0"/>
        <w:rPr>
          <w:rFonts w:hint="eastAsia" w:ascii="宋体" w:hAnsi="宋体" w:eastAsia="宋体" w:cs="宋体"/>
          <w:color w:val="auto"/>
          <w:sz w:val="24"/>
          <w:szCs w:val="24"/>
          <w:highlight w:val="none"/>
        </w:rPr>
      </w:pPr>
    </w:p>
    <w:p w14:paraId="0F0BF736">
      <w:pPr>
        <w:spacing w:line="360" w:lineRule="auto"/>
        <w:jc w:val="center"/>
        <w:outlineLvl w:val="0"/>
        <w:rPr>
          <w:rFonts w:hint="eastAsia" w:asciiTheme="minorEastAsia" w:hAnsiTheme="minorEastAsia" w:eastAsiaTheme="minorEastAsia"/>
          <w:b/>
          <w:color w:val="auto"/>
          <w:sz w:val="28"/>
          <w:highlight w:val="none"/>
        </w:rPr>
      </w:pPr>
      <w:bookmarkStart w:id="16" w:name="_Toc18781"/>
    </w:p>
    <w:p w14:paraId="553D1082">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16"/>
    </w:p>
    <w:p w14:paraId="0B02726C">
      <w:pPr>
        <w:keepNext w:val="0"/>
        <w:keepLines w:val="0"/>
        <w:widowControl w:val="0"/>
        <w:suppressLineNumbers w:val="0"/>
        <w:spacing w:before="0" w:beforeAutospacing="0" w:after="0" w:afterAutospacing="0"/>
        <w:ind w:left="0" w:right="0"/>
        <w:jc w:val="right"/>
        <w:outlineLvl w:val="9"/>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2396AEC6">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5F5BF10E">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72DA934A">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7928FD50">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1EDFC026">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3BAA7695">
      <w:pPr>
        <w:keepNext w:val="0"/>
        <w:keepLines w:val="0"/>
        <w:widowControl w:val="0"/>
        <w:suppressLineNumbers w:val="0"/>
        <w:spacing w:before="0" w:beforeAutospacing="0" w:after="0" w:afterAutospacing="0"/>
        <w:ind w:right="0" w:firstLine="3200" w:firstLineChars="1000"/>
        <w:jc w:val="both"/>
        <w:outlineLvl w:val="9"/>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5303C1D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10E46D7">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2252B45B">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2BD4CD4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597662F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0BDC105F">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4E575202">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C0A21B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DCF9276">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106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831E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97DE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3BB25E46">
      <w:pPr>
        <w:keepNext w:val="0"/>
        <w:keepLines w:val="0"/>
        <w:widowControl w:val="0"/>
        <w:suppressLineNumbers w:val="0"/>
        <w:spacing w:before="0" w:beforeAutospacing="0" w:after="0" w:afterAutospacing="0" w:line="720" w:lineRule="auto"/>
        <w:ind w:left="0" w:right="0"/>
        <w:jc w:val="center"/>
        <w:outlineLvl w:val="9"/>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3FE61CBE">
      <w:pPr>
        <w:pStyle w:val="64"/>
        <w:widowControl/>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74872272">
      <w:pPr>
        <w:pStyle w:val="64"/>
        <w:widowControl/>
        <w:outlineLvl w:val="9"/>
        <w:rPr>
          <w:rFonts w:hint="eastAsia" w:ascii="Times New Roman" w:hAnsi="Times New Roman" w:eastAsia="宋体" w:cs="Times New Roman"/>
          <w:color w:val="auto"/>
          <w:kern w:val="2"/>
          <w:sz w:val="21"/>
          <w:szCs w:val="21"/>
          <w:highlight w:val="none"/>
        </w:rPr>
      </w:pPr>
    </w:p>
    <w:p w14:paraId="4CA8BD00">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14FF98F">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CB13F61">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6D96805">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3CA52A26">
      <w:pPr>
        <w:spacing w:after="50" w:line="360" w:lineRule="auto"/>
        <w:ind w:right="-10" w:rightChars="0"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2BD379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诚信投标承诺书（格式见附件）；</w:t>
      </w:r>
    </w:p>
    <w:p w14:paraId="41F78BA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2FB125D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3EF15653">
      <w:pPr>
        <w:keepNext w:val="0"/>
        <w:keepLines w:val="0"/>
        <w:widowControl w:val="0"/>
        <w:suppressLineNumbers w:val="0"/>
        <w:spacing w:before="0" w:beforeAutospacing="0" w:after="0" w:afterAutospacing="0" w:line="360" w:lineRule="auto"/>
        <w:ind w:left="0" w:right="0" w:firstLine="527" w:firstLineChars="250"/>
        <w:jc w:val="both"/>
        <w:outlineLvl w:val="9"/>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5E85ED5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5C71DE99">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BB0B9B0">
      <w:pPr>
        <w:spacing w:line="360" w:lineRule="auto"/>
        <w:jc w:val="center"/>
        <w:outlineLvl w:val="9"/>
        <w:rPr>
          <w:rFonts w:hint="eastAsia" w:asciiTheme="minorEastAsia" w:hAnsiTheme="minorEastAsia" w:eastAsiaTheme="minorEastAsia"/>
          <w:b/>
          <w:color w:val="auto"/>
          <w:sz w:val="24"/>
          <w:highlight w:val="none"/>
        </w:rPr>
      </w:pPr>
    </w:p>
    <w:p w14:paraId="4AB9CF14">
      <w:pPr>
        <w:spacing w:line="360" w:lineRule="auto"/>
        <w:jc w:val="center"/>
        <w:outlineLvl w:val="9"/>
        <w:rPr>
          <w:rFonts w:hint="eastAsia" w:asciiTheme="minorEastAsia" w:hAnsiTheme="minorEastAsia" w:eastAsiaTheme="minorEastAsia"/>
          <w:b/>
          <w:color w:val="auto"/>
          <w:sz w:val="24"/>
          <w:highlight w:val="none"/>
        </w:rPr>
      </w:pPr>
    </w:p>
    <w:p w14:paraId="42D01F39">
      <w:pPr>
        <w:spacing w:line="360" w:lineRule="auto"/>
        <w:jc w:val="center"/>
        <w:outlineLvl w:val="9"/>
        <w:rPr>
          <w:rFonts w:hint="eastAsia" w:asciiTheme="minorEastAsia" w:hAnsiTheme="minorEastAsia" w:eastAsiaTheme="minorEastAsia"/>
          <w:b/>
          <w:color w:val="auto"/>
          <w:sz w:val="24"/>
          <w:highlight w:val="none"/>
        </w:rPr>
      </w:pPr>
    </w:p>
    <w:p w14:paraId="45225977">
      <w:pPr>
        <w:spacing w:line="360" w:lineRule="auto"/>
        <w:jc w:val="center"/>
        <w:outlineLvl w:val="9"/>
        <w:rPr>
          <w:rFonts w:hint="eastAsia" w:asciiTheme="minorEastAsia" w:hAnsiTheme="minorEastAsia" w:eastAsiaTheme="minorEastAsia"/>
          <w:b/>
          <w:color w:val="auto"/>
          <w:sz w:val="24"/>
          <w:highlight w:val="none"/>
        </w:rPr>
      </w:pPr>
    </w:p>
    <w:p w14:paraId="5F162375">
      <w:pPr>
        <w:spacing w:line="360" w:lineRule="auto"/>
        <w:jc w:val="center"/>
        <w:outlineLvl w:val="9"/>
        <w:rPr>
          <w:rFonts w:hint="eastAsia" w:asciiTheme="minorEastAsia" w:hAnsiTheme="minorEastAsia" w:eastAsiaTheme="minorEastAsia"/>
          <w:b/>
          <w:color w:val="auto"/>
          <w:sz w:val="24"/>
          <w:highlight w:val="none"/>
        </w:rPr>
      </w:pPr>
    </w:p>
    <w:p w14:paraId="59B879BF">
      <w:pPr>
        <w:spacing w:line="360" w:lineRule="auto"/>
        <w:jc w:val="center"/>
        <w:outlineLvl w:val="9"/>
        <w:rPr>
          <w:rFonts w:hint="eastAsia" w:asciiTheme="minorEastAsia" w:hAnsiTheme="minorEastAsia" w:eastAsiaTheme="minorEastAsia"/>
          <w:b/>
          <w:color w:val="auto"/>
          <w:sz w:val="24"/>
          <w:highlight w:val="none"/>
        </w:rPr>
      </w:pPr>
    </w:p>
    <w:p w14:paraId="325C1FDC">
      <w:pPr>
        <w:spacing w:line="360" w:lineRule="auto"/>
        <w:jc w:val="center"/>
        <w:outlineLvl w:val="9"/>
        <w:rPr>
          <w:rFonts w:hint="eastAsia" w:asciiTheme="minorEastAsia" w:hAnsiTheme="minorEastAsia" w:eastAsiaTheme="minorEastAsia"/>
          <w:b/>
          <w:color w:val="auto"/>
          <w:sz w:val="24"/>
          <w:highlight w:val="none"/>
        </w:rPr>
      </w:pPr>
    </w:p>
    <w:p w14:paraId="0C221F7C">
      <w:pPr>
        <w:spacing w:line="360" w:lineRule="auto"/>
        <w:jc w:val="center"/>
        <w:outlineLvl w:val="9"/>
        <w:rPr>
          <w:rFonts w:hint="eastAsia" w:asciiTheme="minorEastAsia" w:hAnsiTheme="minorEastAsia" w:eastAsiaTheme="minorEastAsia"/>
          <w:b/>
          <w:color w:val="auto"/>
          <w:sz w:val="24"/>
          <w:highlight w:val="none"/>
        </w:rPr>
      </w:pPr>
    </w:p>
    <w:p w14:paraId="541EF9E4">
      <w:pPr>
        <w:spacing w:line="360" w:lineRule="auto"/>
        <w:jc w:val="center"/>
        <w:outlineLvl w:val="9"/>
        <w:rPr>
          <w:rFonts w:hint="eastAsia" w:asciiTheme="minorEastAsia" w:hAnsiTheme="minorEastAsia" w:eastAsiaTheme="minorEastAsia"/>
          <w:b/>
          <w:color w:val="auto"/>
          <w:sz w:val="24"/>
          <w:highlight w:val="none"/>
        </w:rPr>
      </w:pPr>
    </w:p>
    <w:p w14:paraId="048181F3">
      <w:pPr>
        <w:spacing w:line="360" w:lineRule="auto"/>
        <w:jc w:val="center"/>
        <w:outlineLvl w:val="9"/>
        <w:rPr>
          <w:rFonts w:hint="eastAsia" w:asciiTheme="minorEastAsia" w:hAnsiTheme="minorEastAsia" w:eastAsiaTheme="minorEastAsia"/>
          <w:b/>
          <w:color w:val="auto"/>
          <w:sz w:val="24"/>
          <w:highlight w:val="none"/>
        </w:rPr>
      </w:pPr>
    </w:p>
    <w:p w14:paraId="7466636F">
      <w:pPr>
        <w:spacing w:line="360" w:lineRule="auto"/>
        <w:jc w:val="center"/>
        <w:outlineLvl w:val="9"/>
        <w:rPr>
          <w:rFonts w:hint="eastAsia" w:asciiTheme="minorEastAsia" w:hAnsiTheme="minorEastAsia" w:eastAsiaTheme="minorEastAsia"/>
          <w:b/>
          <w:color w:val="auto"/>
          <w:sz w:val="24"/>
          <w:highlight w:val="none"/>
        </w:rPr>
      </w:pPr>
    </w:p>
    <w:p w14:paraId="778A4918">
      <w:pPr>
        <w:spacing w:line="360" w:lineRule="auto"/>
        <w:jc w:val="center"/>
        <w:outlineLvl w:val="9"/>
        <w:rPr>
          <w:rFonts w:hint="eastAsia" w:asciiTheme="minorEastAsia" w:hAnsiTheme="minorEastAsia" w:eastAsiaTheme="minorEastAsia"/>
          <w:b/>
          <w:color w:val="auto"/>
          <w:sz w:val="24"/>
          <w:highlight w:val="none"/>
        </w:rPr>
      </w:pPr>
    </w:p>
    <w:p w14:paraId="02D4B331">
      <w:pPr>
        <w:spacing w:line="360" w:lineRule="auto"/>
        <w:jc w:val="center"/>
        <w:outlineLvl w:val="9"/>
        <w:rPr>
          <w:rFonts w:hint="eastAsia" w:asciiTheme="minorEastAsia" w:hAnsiTheme="minorEastAsia" w:eastAsiaTheme="minorEastAsia"/>
          <w:b/>
          <w:color w:val="auto"/>
          <w:sz w:val="24"/>
          <w:highlight w:val="none"/>
        </w:rPr>
      </w:pPr>
    </w:p>
    <w:p w14:paraId="494CE88E">
      <w:pPr>
        <w:spacing w:line="360" w:lineRule="auto"/>
        <w:jc w:val="center"/>
        <w:outlineLvl w:val="9"/>
        <w:rPr>
          <w:rFonts w:hint="eastAsia" w:asciiTheme="minorEastAsia" w:hAnsiTheme="minorEastAsia" w:eastAsiaTheme="minorEastAsia"/>
          <w:b/>
          <w:color w:val="auto"/>
          <w:sz w:val="24"/>
          <w:highlight w:val="none"/>
        </w:rPr>
      </w:pPr>
    </w:p>
    <w:p w14:paraId="6831ABD2">
      <w:pPr>
        <w:spacing w:line="360" w:lineRule="auto"/>
        <w:jc w:val="center"/>
        <w:outlineLvl w:val="9"/>
        <w:rPr>
          <w:rFonts w:hint="eastAsia" w:asciiTheme="minorEastAsia" w:hAnsiTheme="minorEastAsia" w:eastAsiaTheme="minorEastAsia"/>
          <w:b/>
          <w:color w:val="auto"/>
          <w:sz w:val="24"/>
          <w:highlight w:val="none"/>
        </w:rPr>
      </w:pPr>
    </w:p>
    <w:p w14:paraId="5F3171AD">
      <w:pPr>
        <w:pStyle w:val="30"/>
        <w:outlineLvl w:val="9"/>
        <w:rPr>
          <w:rFonts w:hint="eastAsia" w:asciiTheme="minorEastAsia" w:hAnsiTheme="minorEastAsia" w:eastAsiaTheme="minorEastAsia"/>
          <w:b/>
          <w:color w:val="auto"/>
          <w:sz w:val="24"/>
          <w:highlight w:val="none"/>
        </w:rPr>
      </w:pPr>
    </w:p>
    <w:p w14:paraId="3756FA55">
      <w:pPr>
        <w:pStyle w:val="30"/>
        <w:outlineLvl w:val="9"/>
        <w:rPr>
          <w:rFonts w:hint="eastAsia" w:asciiTheme="minorEastAsia" w:hAnsiTheme="minorEastAsia" w:eastAsiaTheme="minorEastAsia"/>
          <w:b/>
          <w:color w:val="auto"/>
          <w:sz w:val="24"/>
          <w:highlight w:val="none"/>
        </w:rPr>
      </w:pPr>
    </w:p>
    <w:p w14:paraId="34F822D8">
      <w:pPr>
        <w:spacing w:line="360" w:lineRule="auto"/>
        <w:jc w:val="center"/>
        <w:outlineLvl w:val="9"/>
        <w:rPr>
          <w:rFonts w:hint="eastAsia" w:asciiTheme="minorEastAsia" w:hAnsiTheme="minorEastAsia" w:eastAsiaTheme="minorEastAsia"/>
          <w:b/>
          <w:color w:val="auto"/>
          <w:sz w:val="24"/>
          <w:highlight w:val="none"/>
        </w:rPr>
      </w:pPr>
    </w:p>
    <w:p w14:paraId="05D1079F">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F1E0A4C">
      <w:pPr>
        <w:pStyle w:val="12"/>
        <w:spacing w:line="360" w:lineRule="auto"/>
        <w:outlineLvl w:val="9"/>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7DCD8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3B430F5C">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B10960">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0C17042">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FC594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FA2008">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（五）我单位不属于政府采购法律、行政法规规定的公益一类事业单位</w:t>
      </w:r>
      <w:r>
        <w:rPr>
          <w:rFonts w:hint="eastAsia" w:asciiTheme="minorEastAsia" w:hAnsiTheme="minorEastAsia" w:eastAsiaTheme="minorEastAsia" w:cstheme="minorEastAsia"/>
          <w:color w:val="auto"/>
          <w:kern w:val="0"/>
          <w:sz w:val="24"/>
          <w:szCs w:val="24"/>
          <w:highlight w:val="none"/>
          <w:lang w:eastAsia="zh-CN" w:bidi="ar"/>
        </w:rPr>
        <w:t>或</w:t>
      </w:r>
      <w:r>
        <w:rPr>
          <w:rFonts w:hint="eastAsia" w:asciiTheme="minorEastAsia" w:hAnsiTheme="minorEastAsia" w:eastAsiaTheme="minorEastAsia" w:cstheme="minorEastAsia"/>
          <w:color w:val="auto"/>
          <w:kern w:val="0"/>
          <w:sz w:val="24"/>
          <w:szCs w:val="24"/>
          <w:highlight w:val="none"/>
          <w:lang w:bidi="ar"/>
        </w:rPr>
        <w:t xml:space="preserve">使用事业编制且由财政拨款保障的群团组织（仅适用于政府购买服务项目）； </w:t>
      </w:r>
    </w:p>
    <w:p w14:paraId="24ABBCEF">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B7BD11F">
      <w:pPr>
        <w:widowControl/>
        <w:spacing w:line="360" w:lineRule="auto"/>
        <w:ind w:firstLine="480" w:firstLineChars="200"/>
        <w:jc w:val="left"/>
        <w:outlineLvl w:val="9"/>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8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28A3A">
            <w:pPr>
              <w:keepNext w:val="0"/>
              <w:keepLines w:val="0"/>
              <w:widowControl/>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4D7F34">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A15C735">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438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B887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8AF08D6">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5DF2B7C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r w14:paraId="62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D1386D">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796E8A4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20BBE072">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bl>
    <w:p w14:paraId="6DC9487E">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DEEE928">
      <w:pPr>
        <w:spacing w:line="360" w:lineRule="auto"/>
        <w:ind w:firstLine="4800" w:firstLineChars="2000"/>
        <w:outlineLvl w:val="9"/>
        <w:rPr>
          <w:rFonts w:ascii="宋体" w:hAnsi="宋体" w:eastAsia="宋体"/>
          <w:color w:val="auto"/>
          <w:sz w:val="24"/>
          <w:highlight w:val="none"/>
        </w:rPr>
      </w:pPr>
    </w:p>
    <w:p w14:paraId="31738637">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F0A7ED">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66EE90">
      <w:pPr>
        <w:spacing w:line="360" w:lineRule="auto"/>
        <w:ind w:firstLine="4800" w:firstLineChars="2000"/>
        <w:outlineLvl w:val="9"/>
        <w:rPr>
          <w:rFonts w:ascii="宋体" w:hAnsi="宋体" w:eastAsia="宋体"/>
          <w:color w:val="auto"/>
          <w:sz w:val="24"/>
          <w:szCs w:val="24"/>
          <w:highlight w:val="none"/>
          <w:u w:val="single"/>
        </w:rPr>
      </w:pPr>
    </w:p>
    <w:p w14:paraId="55DADE62">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489227CC">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2A0DA0EA">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7E308BF">
      <w:pPr>
        <w:spacing w:line="360" w:lineRule="auto"/>
        <w:jc w:val="center"/>
        <w:outlineLvl w:val="9"/>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0BD37C21">
      <w:pPr>
        <w:pStyle w:val="11"/>
        <w:snapToGrid w:val="0"/>
        <w:spacing w:line="360" w:lineRule="auto"/>
        <w:ind w:firstLine="480" w:firstLineChars="200"/>
        <w:jc w:val="left"/>
        <w:outlineLvl w:val="9"/>
        <w:rPr>
          <w:rFonts w:hAnsi="宋体" w:eastAsia="宋体"/>
          <w:color w:val="auto"/>
          <w:sz w:val="24"/>
          <w:szCs w:val="28"/>
          <w:highlight w:val="none"/>
        </w:rPr>
      </w:pPr>
    </w:p>
    <w:p w14:paraId="4B4DB150">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983428">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15EA87">
      <w:pPr>
        <w:spacing w:line="360" w:lineRule="auto"/>
        <w:ind w:firstLine="435"/>
        <w:outlineLvl w:val="9"/>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身份证明扫描件：</w:t>
      </w:r>
    </w:p>
    <w:p w14:paraId="53D30A98">
      <w:pPr>
        <w:spacing w:line="360" w:lineRule="auto"/>
        <w:ind w:firstLine="435"/>
        <w:outlineLvl w:val="9"/>
        <w:rPr>
          <w:rFonts w:asciiTheme="minorEastAsia" w:hAnsiTheme="minorEastAsia" w:eastAsiaTheme="minorEastAsia"/>
          <w:color w:val="auto"/>
          <w:sz w:val="24"/>
          <w:highlight w:val="none"/>
        </w:rPr>
      </w:pPr>
    </w:p>
    <w:p w14:paraId="624A42FB">
      <w:pPr>
        <w:spacing w:line="360" w:lineRule="auto"/>
        <w:ind w:firstLine="435"/>
        <w:outlineLvl w:val="9"/>
        <w:rPr>
          <w:rFonts w:asciiTheme="minorEastAsia" w:hAnsiTheme="minorEastAsia" w:eastAsiaTheme="minorEastAsia"/>
          <w:color w:val="auto"/>
          <w:sz w:val="24"/>
          <w:highlight w:val="none"/>
        </w:rPr>
      </w:pPr>
    </w:p>
    <w:p w14:paraId="55F88840">
      <w:pPr>
        <w:spacing w:line="360" w:lineRule="auto"/>
        <w:ind w:firstLine="435"/>
        <w:outlineLvl w:val="9"/>
        <w:rPr>
          <w:rFonts w:asciiTheme="minorEastAsia" w:hAnsiTheme="minorEastAsia" w:eastAsiaTheme="minorEastAsia"/>
          <w:color w:val="auto"/>
          <w:sz w:val="24"/>
          <w:highlight w:val="none"/>
        </w:rPr>
      </w:pPr>
    </w:p>
    <w:p w14:paraId="3A8FDCC3">
      <w:pPr>
        <w:spacing w:line="360" w:lineRule="auto"/>
        <w:ind w:firstLine="435"/>
        <w:outlineLvl w:val="9"/>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14F2B1">
      <w:pPr>
        <w:spacing w:line="360" w:lineRule="auto"/>
        <w:ind w:firstLine="435"/>
        <w:outlineLvl w:val="9"/>
        <w:rPr>
          <w:rFonts w:hAnsi="宋体" w:eastAsia="宋体"/>
          <w:color w:val="auto"/>
          <w:sz w:val="24"/>
          <w:szCs w:val="28"/>
          <w:highlight w:val="none"/>
          <w:lang w:val="zh-CN"/>
        </w:rPr>
      </w:pPr>
    </w:p>
    <w:p w14:paraId="0AAF3F94">
      <w:pPr>
        <w:spacing w:line="360" w:lineRule="auto"/>
        <w:ind w:firstLine="435"/>
        <w:outlineLvl w:val="9"/>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26CAFD">
      <w:pPr>
        <w:spacing w:line="360" w:lineRule="auto"/>
        <w:outlineLvl w:val="9"/>
        <w:rPr>
          <w:rFonts w:ascii="宋体" w:hAnsi="宋体" w:eastAsia="宋体"/>
          <w:color w:val="auto"/>
          <w:sz w:val="24"/>
          <w:szCs w:val="28"/>
          <w:highlight w:val="none"/>
        </w:rPr>
      </w:pPr>
    </w:p>
    <w:p w14:paraId="6B46048E">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29A1B6">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02DC185">
      <w:pPr>
        <w:spacing w:line="360" w:lineRule="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665F5A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1.本项目只允许有唯一的投标人授权代表，提供身份证明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08D64D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2.法定代表人参加投标的无需提供授权书，提供身份证明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B61E119">
      <w:pPr>
        <w:widowControl/>
        <w:jc w:val="left"/>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054BE2">
      <w:pPr>
        <w:spacing w:line="360" w:lineRule="auto"/>
        <w:jc w:val="center"/>
        <w:outlineLvl w:val="9"/>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73CE1BD">
      <w:pPr>
        <w:spacing w:line="500" w:lineRule="exac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65ACD1D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31FA4E0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A90ACEC">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B46CB0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5E7979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0AF8A1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7DDC1C8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3C2EC9B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69FE521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九</w:t>
      </w:r>
      <w:r>
        <w:rPr>
          <w:rFonts w:hint="eastAsia" w:ascii="宋体" w:hAnsi="宋体" w:eastAsia="宋体" w:cs="宋体"/>
          <w:color w:val="auto"/>
          <w:sz w:val="24"/>
          <w:szCs w:val="24"/>
          <w:highlight w:val="none"/>
          <w:lang w:bidi="ar"/>
        </w:rPr>
        <w:t>、保证中标之后，按照投标文件要求提供相关后续服务；</w:t>
      </w:r>
    </w:p>
    <w:p w14:paraId="5CA034E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091AD8D1">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w:t>
      </w:r>
      <w:r>
        <w:rPr>
          <w:rFonts w:hint="eastAsia" w:ascii="宋体" w:hAnsi="宋体" w:eastAsia="宋体" w:cs="宋体"/>
          <w:color w:val="auto"/>
          <w:sz w:val="24"/>
          <w:szCs w:val="24"/>
          <w:highlight w:val="none"/>
          <w:lang w:val="en-US" w:eastAsia="zh-CN" w:bidi="ar"/>
        </w:rPr>
        <w:t>一</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FC7B4D">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2132DB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4CD78C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69A060EF">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48B39275">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C065FFB">
      <w:pPr>
        <w:spacing w:line="560" w:lineRule="exact"/>
        <w:jc w:val="right"/>
        <w:outlineLvl w:val="9"/>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9CF2FC">
      <w:pPr>
        <w:spacing w:line="360" w:lineRule="auto"/>
        <w:jc w:val="cente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F225603">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969885E">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p>
    <w:p w14:paraId="3A1EE88C">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0DF7B85C">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DF8B2A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301094A2">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155E3705">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81A6ABB">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423E3495">
      <w:pPr>
        <w:keepNext w:val="0"/>
        <w:keepLines w:val="0"/>
        <w:widowControl w:val="0"/>
        <w:suppressLineNumbers w:val="0"/>
        <w:spacing w:before="0" w:beforeAutospacing="0" w:after="0" w:afterAutospacing="0"/>
        <w:ind w:right="0" w:firstLine="3080" w:firstLineChars="1100"/>
        <w:jc w:val="both"/>
        <w:outlineLvl w:val="9"/>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35A2C990">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41581A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336C96">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3F14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145B6AE">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7B8AA2EB">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41B39CE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A137F9C">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8E870C3">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6A1C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7BB1E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C84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3762492">
      <w:pPr>
        <w:keepNext w:val="0"/>
        <w:keepLines w:val="0"/>
        <w:widowControl w:val="0"/>
        <w:suppressLineNumbers w:val="0"/>
        <w:spacing w:before="0" w:beforeAutospacing="0" w:after="0" w:afterAutospacing="0"/>
        <w:ind w:left="0" w:right="0" w:firstLine="1400" w:firstLineChars="5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7BBDE4B">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B03856C">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lang w:val="en-US" w:eastAsia="zh-CN" w:bidi="ar"/>
        </w:rPr>
      </w:pPr>
    </w:p>
    <w:p w14:paraId="696576F8">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69417EC">
      <w:pPr>
        <w:keepNext w:val="0"/>
        <w:keepLines w:val="0"/>
        <w:widowControl w:val="0"/>
        <w:suppressLineNumbers w:val="0"/>
        <w:spacing w:before="0" w:beforeAutospacing="0" w:after="0" w:afterAutospacing="0" w:line="400" w:lineRule="exact"/>
        <w:ind w:left="0" w:right="0" w:firstLine="3744" w:firstLineChars="1036"/>
        <w:jc w:val="both"/>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6436897A">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诚信履约承诺函（格式见附件）</w:t>
      </w:r>
    </w:p>
    <w:p w14:paraId="27B513F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（2）招标文件中要求的技术标评审及技术标评分的支持资料；</w:t>
      </w:r>
    </w:p>
    <w:p w14:paraId="061BEBCC">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（3）投标人认为需要提供的其他技术证明材料。</w:t>
      </w:r>
    </w:p>
    <w:p w14:paraId="223EAE12">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51A494">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B8E9A92">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E4A3FD7">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C437EB3">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0C0C55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4581176">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3D316D6">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0FA55B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3F534585">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p>
    <w:p w14:paraId="17396C21">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0FE89FC9">
      <w:pPr>
        <w:pStyle w:val="2"/>
        <w:rPr>
          <w:rFonts w:hint="eastAsia" w:ascii="宋体" w:hAnsi="宋体" w:eastAsia="宋体" w:cs="宋体"/>
          <w:b/>
          <w:bCs w:val="0"/>
          <w:color w:val="auto"/>
          <w:kern w:val="2"/>
          <w:sz w:val="28"/>
          <w:szCs w:val="28"/>
          <w:highlight w:val="none"/>
          <w:lang w:val="en-US" w:eastAsia="zh-CN" w:bidi="ar"/>
        </w:rPr>
      </w:pPr>
    </w:p>
    <w:p w14:paraId="4476AC94">
      <w:pPr>
        <w:rPr>
          <w:rFonts w:hint="eastAsia"/>
          <w:highlight w:val="none"/>
        </w:rPr>
      </w:pPr>
    </w:p>
    <w:p w14:paraId="4455FD6A">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0683CC0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一、诚信履约承诺函</w:t>
      </w:r>
    </w:p>
    <w:p w14:paraId="2DA8B7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16B23B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BD44E7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BE1715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3322108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4372DCF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0289FF79">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58272D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263F73DB">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6B312E">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736687C">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186E364E">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04B04279">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6613BB7">
      <w:pPr>
        <w:keepNext w:val="0"/>
        <w:keepLines w:val="0"/>
        <w:widowControl/>
        <w:suppressLineNumbers w:val="0"/>
        <w:spacing w:before="0" w:beforeAutospacing="0" w:after="0" w:afterAutospacing="0"/>
        <w:ind w:left="0" w:right="0"/>
        <w:jc w:val="left"/>
        <w:outlineLvl w:val="9"/>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FD6669A">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p>
    <w:p w14:paraId="7561351D">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301BB08">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193691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0958208F">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D91AECE">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5E12ED4">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F339E8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46BD55B7">
      <w:pPr>
        <w:keepNext w:val="0"/>
        <w:keepLines w:val="0"/>
        <w:widowControl w:val="0"/>
        <w:suppressLineNumbers w:val="0"/>
        <w:spacing w:before="0" w:beforeAutospacing="0" w:after="0" w:afterAutospacing="0"/>
        <w:ind w:left="0" w:right="0" w:firstLine="3360" w:firstLineChars="1200"/>
        <w:jc w:val="both"/>
        <w:outlineLvl w:val="9"/>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6F3A029E">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7321EE4">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328F5D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1CB94F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6B88557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59BC234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2883CB1C">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p>
    <w:p w14:paraId="091D52D1">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9D01A9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24C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499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74CF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45EE84E4">
      <w:pPr>
        <w:spacing w:line="360" w:lineRule="auto"/>
        <w:jc w:val="center"/>
        <w:outlineLvl w:val="9"/>
        <w:rPr>
          <w:rFonts w:hint="eastAsia" w:asciiTheme="minorEastAsia" w:hAnsiTheme="minorEastAsia" w:eastAsiaTheme="minorEastAsia"/>
          <w:b/>
          <w:color w:val="auto"/>
          <w:sz w:val="24"/>
          <w:highlight w:val="none"/>
        </w:rPr>
      </w:pPr>
    </w:p>
    <w:p w14:paraId="4572299B">
      <w:pPr>
        <w:spacing w:line="360" w:lineRule="auto"/>
        <w:jc w:val="center"/>
        <w:outlineLvl w:val="9"/>
        <w:rPr>
          <w:rFonts w:hint="eastAsia" w:asciiTheme="minorEastAsia" w:hAnsiTheme="minorEastAsia" w:eastAsiaTheme="minorEastAsia"/>
          <w:b/>
          <w:color w:val="auto"/>
          <w:sz w:val="24"/>
          <w:highlight w:val="none"/>
        </w:rPr>
      </w:pPr>
    </w:p>
    <w:p w14:paraId="3F8D54C4">
      <w:pPr>
        <w:spacing w:line="360" w:lineRule="auto"/>
        <w:jc w:val="center"/>
        <w:outlineLvl w:val="9"/>
        <w:rPr>
          <w:rFonts w:hint="eastAsia" w:asciiTheme="minorEastAsia" w:hAnsiTheme="minorEastAsia" w:eastAsiaTheme="minorEastAsia"/>
          <w:b/>
          <w:color w:val="auto"/>
          <w:sz w:val="24"/>
          <w:highlight w:val="none"/>
        </w:rPr>
      </w:pPr>
    </w:p>
    <w:p w14:paraId="100D1C27">
      <w:pPr>
        <w:spacing w:line="400" w:lineRule="exact"/>
        <w:jc w:val="center"/>
        <w:outlineLvl w:val="9"/>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39EA3CB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0D5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7295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0153E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（3）招标文件商务评审中要求提供的其他相关资料；</w:t>
      </w:r>
    </w:p>
    <w:p w14:paraId="45BCB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（4）投标人认为需要提供的其他材料；</w:t>
      </w:r>
    </w:p>
    <w:p w14:paraId="325CB2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61D606EA">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456096F">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5C4B12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AEB3887">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9D70E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C9E3BD8">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75E4F7C">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C24951E">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05369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8D5DA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E513D13">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21676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224405B">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42753C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28932B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50F95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C7BB4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E0C49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907EA7B">
      <w:pPr>
        <w:pStyle w:val="2"/>
        <w:rPr>
          <w:rFonts w:hint="eastAsia"/>
          <w:highlight w:val="none"/>
          <w:lang w:val="en-US" w:eastAsia="zh-CN"/>
        </w:rPr>
      </w:pPr>
    </w:p>
    <w:p w14:paraId="5801A9D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CD1F40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F7129D1">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8E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89C675A">
            <w:pPr>
              <w:keepNext w:val="0"/>
              <w:keepLines w:val="0"/>
              <w:widowControl/>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541FEB60">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Cs/>
                <w:color w:val="auto"/>
                <w:sz w:val="24"/>
                <w:szCs w:val="20"/>
                <w:highlight w:val="none"/>
                <w:u w:val="single"/>
              </w:rPr>
            </w:pPr>
          </w:p>
        </w:tc>
      </w:tr>
      <w:tr w14:paraId="3CF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82DA0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EE1284C">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p>
        </w:tc>
      </w:tr>
      <w:tr w14:paraId="5B1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60CFD4">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16A3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237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1800C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F376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0C932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outlineLvl w:val="9"/>
              <w:rPr>
                <w:rFonts w:hint="eastAsia"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5E3E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B54408B">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A8A71D1">
            <w:pPr>
              <w:keepNext w:val="0"/>
              <w:keepLines w:val="0"/>
              <w:suppressLineNumbers w:val="0"/>
              <w:spacing w:before="0" w:beforeAutospacing="0" w:after="0" w:afterAutospacing="0" w:line="360" w:lineRule="auto"/>
              <w:ind w:left="0" w:right="0"/>
              <w:jc w:val="left"/>
              <w:outlineLvl w:val="9"/>
              <w:rPr>
                <w:rFonts w:hint="default" w:asciiTheme="minorEastAsia" w:hAnsiTheme="minorEastAsia" w:eastAsiaTheme="minorEastAsia"/>
                <w:color w:val="auto"/>
                <w:sz w:val="24"/>
                <w:szCs w:val="28"/>
                <w:highlight w:val="none"/>
              </w:rPr>
            </w:pPr>
          </w:p>
        </w:tc>
      </w:tr>
    </w:tbl>
    <w:p w14:paraId="3C847DE3">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CEE368">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21D08F6">
      <w:pPr>
        <w:spacing w:line="360" w:lineRule="auto"/>
        <w:outlineLvl w:val="9"/>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97003DA">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1EDC0B6">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7E65C67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73B11374">
      <w:pPr>
        <w:spacing w:line="360" w:lineRule="auto"/>
        <w:jc w:val="center"/>
        <w:outlineLvl w:val="9"/>
        <w:rPr>
          <w:rFonts w:asciiTheme="minorEastAsia" w:hAnsiTheme="minorEastAsia" w:eastAsiaTheme="minorEastAsia"/>
          <w:b/>
          <w:color w:val="auto"/>
          <w:sz w:val="24"/>
          <w:highlight w:val="none"/>
        </w:rPr>
      </w:pPr>
      <w:bookmarkStart w:id="17" w:name="_Toc6441"/>
      <w:bookmarkStart w:id="18" w:name="_Toc6120"/>
      <w:r>
        <w:rPr>
          <w:rFonts w:hint="eastAsia" w:asciiTheme="minorEastAsia" w:hAnsiTheme="minorEastAsia" w:eastAsiaTheme="minorEastAsia"/>
          <w:b/>
          <w:color w:val="auto"/>
          <w:sz w:val="24"/>
          <w:highlight w:val="none"/>
        </w:rPr>
        <w:t>二、投标函</w:t>
      </w:r>
      <w:bookmarkEnd w:id="17"/>
      <w:bookmarkEnd w:id="18"/>
    </w:p>
    <w:p w14:paraId="0958B83B">
      <w:pPr>
        <w:pStyle w:val="12"/>
        <w:spacing w:line="360" w:lineRule="auto"/>
        <w:outlineLvl w:val="9"/>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2D35B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3723C7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691305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6C63F9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3DFB68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79B5566">
      <w:pPr>
        <w:spacing w:line="360" w:lineRule="auto"/>
        <w:ind w:firstLine="4800" w:firstLineChars="2000"/>
        <w:outlineLvl w:val="9"/>
        <w:rPr>
          <w:rFonts w:ascii="宋体" w:hAnsi="宋体" w:eastAsia="宋体"/>
          <w:color w:val="auto"/>
          <w:sz w:val="24"/>
          <w:highlight w:val="none"/>
        </w:rPr>
      </w:pPr>
    </w:p>
    <w:p w14:paraId="4E360B49">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331F81">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32CF7E2">
      <w:pPr>
        <w:widowControl/>
        <w:jc w:val="left"/>
        <w:outlineLvl w:val="9"/>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E84228E">
      <w:pPr>
        <w:spacing w:line="360" w:lineRule="auto"/>
        <w:jc w:val="center"/>
        <w:outlineLvl w:val="0"/>
        <w:rPr>
          <w:rFonts w:ascii="宋体" w:hAnsi="宋体" w:eastAsia="宋体"/>
          <w:b/>
          <w:bCs/>
          <w:color w:val="auto"/>
          <w:sz w:val="28"/>
          <w:highlight w:val="none"/>
        </w:rPr>
      </w:pPr>
      <w:bookmarkStart w:id="19" w:name="_Toc2808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9"/>
    </w:p>
    <w:p w14:paraId="7F8169ED">
      <w:pPr>
        <w:spacing w:line="360" w:lineRule="auto"/>
        <w:jc w:val="center"/>
        <w:outlineLvl w:val="9"/>
        <w:rPr>
          <w:rFonts w:ascii="仿宋" w:hAnsi="仿宋" w:eastAsia="仿宋" w:cs="仿宋"/>
          <w:b/>
          <w:bCs/>
          <w:color w:val="auto"/>
          <w:sz w:val="32"/>
          <w:szCs w:val="44"/>
          <w:highlight w:val="none"/>
        </w:rPr>
      </w:pPr>
      <w:bookmarkStart w:id="20" w:name="_Toc27159"/>
      <w:bookmarkStart w:id="21" w:name="_Toc27489"/>
      <w:r>
        <w:rPr>
          <w:rFonts w:hint="eastAsia" w:ascii="仿宋" w:hAnsi="仿宋" w:eastAsia="仿宋" w:cs="仿宋"/>
          <w:b/>
          <w:bCs/>
          <w:color w:val="auto"/>
          <w:sz w:val="32"/>
          <w:szCs w:val="44"/>
          <w:highlight w:val="none"/>
        </w:rPr>
        <w:t>询问函范本</w:t>
      </w:r>
      <w:bookmarkEnd w:id="20"/>
      <w:bookmarkEnd w:id="21"/>
    </w:p>
    <w:p w14:paraId="58655B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B941AA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71FAF5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 w:name="_Toc13899"/>
      <w:r>
        <w:rPr>
          <w:rFonts w:hint="eastAsia" w:cs="仿宋" w:asciiTheme="minorEastAsia" w:hAnsiTheme="minorEastAsia" w:eastAsiaTheme="minorEastAsia"/>
          <w:color w:val="auto"/>
          <w:sz w:val="24"/>
          <w:szCs w:val="24"/>
          <w:highlight w:val="none"/>
        </w:rPr>
        <w:t>一、(事项一)</w:t>
      </w:r>
      <w:bookmarkEnd w:id="22"/>
    </w:p>
    <w:p w14:paraId="5B452DC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E4D104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476AE7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DC05DB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 w:name="_Toc3352"/>
      <w:r>
        <w:rPr>
          <w:rFonts w:hint="eastAsia" w:cs="仿宋" w:asciiTheme="minorEastAsia" w:hAnsiTheme="minorEastAsia" w:eastAsiaTheme="minorEastAsia"/>
          <w:color w:val="auto"/>
          <w:sz w:val="24"/>
          <w:szCs w:val="24"/>
          <w:highlight w:val="none"/>
        </w:rPr>
        <w:t>二、(事项二)</w:t>
      </w:r>
      <w:bookmarkEnd w:id="23"/>
    </w:p>
    <w:p w14:paraId="30F0191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47D06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10F0D34">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75A769B">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948820F">
      <w:pPr>
        <w:tabs>
          <w:tab w:val="left" w:pos="630"/>
        </w:tabs>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13478D">
      <w:pPr>
        <w:outlineLvl w:val="9"/>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D1F8CE9">
      <w:pPr>
        <w:jc w:val="center"/>
        <w:outlineLvl w:val="9"/>
        <w:rPr>
          <w:rFonts w:ascii="仿宋" w:hAnsi="仿宋" w:eastAsia="仿宋" w:cs="仿宋"/>
          <w:b/>
          <w:bCs/>
          <w:color w:val="auto"/>
          <w:sz w:val="32"/>
          <w:szCs w:val="44"/>
          <w:highlight w:val="none"/>
        </w:rPr>
      </w:pPr>
      <w:bookmarkStart w:id="24" w:name="_Toc3245"/>
      <w:bookmarkStart w:id="25" w:name="_Toc1575"/>
      <w:r>
        <w:rPr>
          <w:rFonts w:hint="eastAsia" w:ascii="仿宋" w:hAnsi="仿宋" w:eastAsia="仿宋" w:cs="仿宋"/>
          <w:b/>
          <w:bCs/>
          <w:color w:val="auto"/>
          <w:sz w:val="32"/>
          <w:szCs w:val="44"/>
          <w:highlight w:val="none"/>
        </w:rPr>
        <w:t>质疑函范本</w:t>
      </w:r>
      <w:bookmarkEnd w:id="24"/>
      <w:bookmarkEnd w:id="25"/>
    </w:p>
    <w:p w14:paraId="1EE353E0">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6" w:name="_Toc21381"/>
      <w:r>
        <w:rPr>
          <w:rFonts w:hint="eastAsia" w:cs="仿宋" w:asciiTheme="minorEastAsia" w:hAnsiTheme="minorEastAsia" w:eastAsiaTheme="minorEastAsia"/>
          <w:b/>
          <w:bCs/>
          <w:color w:val="auto"/>
          <w:sz w:val="24"/>
          <w:szCs w:val="24"/>
          <w:highlight w:val="none"/>
        </w:rPr>
        <w:t>一、质疑供应商基本信息</w:t>
      </w:r>
      <w:bookmarkEnd w:id="26"/>
    </w:p>
    <w:p w14:paraId="4B865F0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6EC301">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82536FB">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95F085">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FCA1CAD">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B49B30F">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E78AE2A">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7" w:name="_Toc28415"/>
      <w:r>
        <w:rPr>
          <w:rFonts w:hint="eastAsia" w:cs="仿宋" w:asciiTheme="minorEastAsia" w:hAnsiTheme="minorEastAsia" w:eastAsiaTheme="minorEastAsia"/>
          <w:b/>
          <w:bCs/>
          <w:color w:val="auto"/>
          <w:sz w:val="24"/>
          <w:szCs w:val="24"/>
          <w:highlight w:val="none"/>
        </w:rPr>
        <w:t>二、质疑项目基本情况</w:t>
      </w:r>
      <w:bookmarkEnd w:id="27"/>
    </w:p>
    <w:p w14:paraId="337F6320">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8BC059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789B012">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3908EF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46507B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8" w:name="_Toc19014"/>
      <w:r>
        <w:rPr>
          <w:rFonts w:hint="eastAsia" w:cs="仿宋" w:asciiTheme="minorEastAsia" w:hAnsiTheme="minorEastAsia" w:eastAsiaTheme="minorEastAsia"/>
          <w:b/>
          <w:bCs/>
          <w:color w:val="auto"/>
          <w:sz w:val="24"/>
          <w:szCs w:val="24"/>
          <w:highlight w:val="none"/>
        </w:rPr>
        <w:t>三、质疑事项具体内容</w:t>
      </w:r>
      <w:bookmarkEnd w:id="28"/>
    </w:p>
    <w:p w14:paraId="43366FF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43A17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607DAFA">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657BB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227F27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7DC84F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F8A62B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E3CE31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9" w:name="_Toc17919"/>
      <w:r>
        <w:rPr>
          <w:rFonts w:hint="eastAsia" w:cs="仿宋" w:asciiTheme="minorEastAsia" w:hAnsiTheme="minorEastAsia" w:eastAsiaTheme="minorEastAsia"/>
          <w:b/>
          <w:bCs/>
          <w:color w:val="auto"/>
          <w:sz w:val="24"/>
          <w:szCs w:val="24"/>
          <w:highlight w:val="none"/>
        </w:rPr>
        <w:t>四、与质疑事项相关的质疑请求</w:t>
      </w:r>
      <w:bookmarkEnd w:id="29"/>
    </w:p>
    <w:p w14:paraId="688BBC49">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C0E001D">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84F980E">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3435D36">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4DD6C8F">
      <w:pPr>
        <w:outlineLvl w:val="9"/>
        <w:rPr>
          <w:rFonts w:asciiTheme="minorEastAsia" w:hAnsiTheme="minorEastAsia" w:eastAsiaTheme="minorEastAsia"/>
          <w:b/>
          <w:color w:val="auto"/>
          <w:sz w:val="28"/>
          <w:szCs w:val="32"/>
          <w:highlight w:val="none"/>
        </w:rPr>
      </w:pPr>
      <w:bookmarkStart w:id="30" w:name="_Toc9754"/>
      <w:bookmarkStart w:id="31" w:name="_Toc26836"/>
      <w:r>
        <w:rPr>
          <w:rFonts w:hint="eastAsia" w:asciiTheme="minorEastAsia" w:hAnsiTheme="minorEastAsia" w:eastAsiaTheme="minorEastAsia"/>
          <w:b/>
          <w:color w:val="auto"/>
          <w:sz w:val="28"/>
          <w:szCs w:val="32"/>
          <w:highlight w:val="none"/>
        </w:rPr>
        <w:t>质疑函制作说明：</w:t>
      </w:r>
      <w:bookmarkEnd w:id="30"/>
      <w:bookmarkEnd w:id="31"/>
    </w:p>
    <w:p w14:paraId="2E51C3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661CBE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B1431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8C9DF7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994577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45AEE2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A263C27">
      <w:pPr>
        <w:pStyle w:val="30"/>
        <w:outlineLvl w:val="9"/>
        <w:rPr>
          <w:rFonts w:hint="eastAsia" w:asciiTheme="minorEastAsia" w:hAnsiTheme="minorEastAsia" w:eastAsiaTheme="minorEastAsia"/>
          <w:color w:val="auto"/>
          <w:sz w:val="24"/>
          <w:highlight w:val="none"/>
        </w:rPr>
      </w:pPr>
    </w:p>
    <w:p w14:paraId="557D4A9C">
      <w:pPr>
        <w:pStyle w:val="30"/>
        <w:outlineLvl w:val="9"/>
        <w:rPr>
          <w:rFonts w:hint="eastAsia" w:asciiTheme="minorEastAsia" w:hAnsiTheme="minorEastAsia" w:eastAsiaTheme="minorEastAsia"/>
          <w:color w:val="auto"/>
          <w:sz w:val="24"/>
          <w:highlight w:val="none"/>
        </w:rPr>
      </w:pPr>
    </w:p>
    <w:p w14:paraId="2DFA62A9">
      <w:pPr>
        <w:pStyle w:val="30"/>
        <w:outlineLvl w:val="9"/>
        <w:rPr>
          <w:rFonts w:hint="eastAsia" w:asciiTheme="minorEastAsia" w:hAnsiTheme="minorEastAsia" w:eastAsiaTheme="minorEastAsia"/>
          <w:color w:val="auto"/>
          <w:sz w:val="24"/>
          <w:highlight w:val="none"/>
        </w:rPr>
      </w:pPr>
    </w:p>
    <w:p w14:paraId="6270981A">
      <w:pPr>
        <w:pStyle w:val="30"/>
        <w:outlineLvl w:val="9"/>
        <w:rPr>
          <w:rFonts w:hint="eastAsia" w:asciiTheme="minorEastAsia" w:hAnsiTheme="minorEastAsia" w:eastAsiaTheme="minorEastAsia"/>
          <w:color w:val="auto"/>
          <w:sz w:val="24"/>
          <w:highlight w:val="none"/>
        </w:rPr>
      </w:pPr>
    </w:p>
    <w:p w14:paraId="6DF0730F">
      <w:pPr>
        <w:pStyle w:val="30"/>
        <w:outlineLvl w:val="9"/>
        <w:rPr>
          <w:rFonts w:hint="eastAsia" w:asciiTheme="minorEastAsia" w:hAnsiTheme="minorEastAsia" w:eastAsiaTheme="minorEastAsia"/>
          <w:color w:val="auto"/>
          <w:sz w:val="24"/>
          <w:highlight w:val="none"/>
        </w:rPr>
      </w:pPr>
    </w:p>
    <w:p w14:paraId="40CF7844">
      <w:pPr>
        <w:pStyle w:val="30"/>
        <w:outlineLvl w:val="9"/>
        <w:rPr>
          <w:rFonts w:hint="eastAsia" w:asciiTheme="minorEastAsia" w:hAnsiTheme="minorEastAsia" w:eastAsiaTheme="minorEastAsia"/>
          <w:color w:val="auto"/>
          <w:sz w:val="24"/>
          <w:highlight w:val="none"/>
        </w:rPr>
      </w:pPr>
    </w:p>
    <w:p w14:paraId="42EBE1CC">
      <w:pPr>
        <w:pStyle w:val="30"/>
        <w:outlineLvl w:val="9"/>
        <w:rPr>
          <w:rFonts w:hint="eastAsia" w:asciiTheme="minorEastAsia" w:hAnsiTheme="minorEastAsia" w:eastAsiaTheme="minorEastAsia"/>
          <w:color w:val="auto"/>
          <w:sz w:val="24"/>
          <w:highlight w:val="none"/>
        </w:rPr>
      </w:pPr>
    </w:p>
    <w:p w14:paraId="71994D0C">
      <w:pPr>
        <w:pStyle w:val="30"/>
        <w:outlineLvl w:val="9"/>
        <w:rPr>
          <w:rFonts w:hint="eastAsia" w:asciiTheme="minorEastAsia" w:hAnsiTheme="minorEastAsia" w:eastAsiaTheme="minorEastAsia"/>
          <w:color w:val="auto"/>
          <w:sz w:val="24"/>
          <w:highlight w:val="none"/>
        </w:rPr>
      </w:pPr>
    </w:p>
    <w:p w14:paraId="13B39510">
      <w:pPr>
        <w:pStyle w:val="30"/>
        <w:outlineLvl w:val="9"/>
        <w:rPr>
          <w:rFonts w:hint="eastAsia" w:asciiTheme="minorEastAsia" w:hAnsiTheme="minorEastAsia" w:eastAsiaTheme="minorEastAsia"/>
          <w:color w:val="auto"/>
          <w:sz w:val="24"/>
          <w:highlight w:val="none"/>
        </w:rPr>
      </w:pPr>
    </w:p>
    <w:p w14:paraId="1ED8CAE8">
      <w:pPr>
        <w:pStyle w:val="30"/>
        <w:outlineLvl w:val="9"/>
        <w:rPr>
          <w:rFonts w:hint="eastAsia" w:asciiTheme="minorEastAsia" w:hAnsiTheme="minorEastAsia" w:eastAsiaTheme="minorEastAsia"/>
          <w:color w:val="auto"/>
          <w:sz w:val="24"/>
          <w:highlight w:val="none"/>
        </w:rPr>
      </w:pPr>
    </w:p>
    <w:p w14:paraId="711535E8">
      <w:pPr>
        <w:pStyle w:val="30"/>
        <w:outlineLvl w:val="9"/>
        <w:rPr>
          <w:rFonts w:hint="eastAsia" w:asciiTheme="minorEastAsia" w:hAnsiTheme="minorEastAsia" w:eastAsiaTheme="minorEastAsia"/>
          <w:color w:val="auto"/>
          <w:sz w:val="24"/>
          <w:highlight w:val="none"/>
        </w:rPr>
      </w:pPr>
    </w:p>
    <w:p w14:paraId="5C86D56C">
      <w:pPr>
        <w:pStyle w:val="30"/>
        <w:outlineLvl w:val="9"/>
        <w:rPr>
          <w:rFonts w:hint="eastAsia" w:asciiTheme="minorEastAsia" w:hAnsiTheme="minorEastAsia" w:eastAsiaTheme="minorEastAsia"/>
          <w:color w:val="auto"/>
          <w:sz w:val="24"/>
          <w:highlight w:val="none"/>
        </w:rPr>
      </w:pPr>
    </w:p>
    <w:p w14:paraId="0D22C792">
      <w:pPr>
        <w:pStyle w:val="30"/>
        <w:outlineLvl w:val="9"/>
        <w:rPr>
          <w:rFonts w:hint="eastAsia" w:asciiTheme="minorEastAsia" w:hAnsiTheme="minorEastAsia" w:eastAsiaTheme="minorEastAsia"/>
          <w:color w:val="auto"/>
          <w:sz w:val="24"/>
          <w:highlight w:val="none"/>
        </w:rPr>
      </w:pPr>
    </w:p>
    <w:p w14:paraId="62D383E5">
      <w:pPr>
        <w:pStyle w:val="30"/>
        <w:outlineLvl w:val="9"/>
        <w:rPr>
          <w:rFonts w:hint="eastAsia" w:asciiTheme="minorEastAsia" w:hAnsiTheme="minorEastAsia" w:eastAsiaTheme="minorEastAsia"/>
          <w:color w:val="auto"/>
          <w:sz w:val="24"/>
          <w:highlight w:val="none"/>
        </w:rPr>
      </w:pPr>
    </w:p>
    <w:p w14:paraId="518FB6D9">
      <w:pPr>
        <w:pStyle w:val="30"/>
        <w:outlineLvl w:val="9"/>
        <w:rPr>
          <w:rFonts w:hint="eastAsia" w:asciiTheme="minorEastAsia" w:hAnsiTheme="minorEastAsia" w:eastAsiaTheme="minorEastAsia"/>
          <w:color w:val="auto"/>
          <w:sz w:val="24"/>
          <w:highlight w:val="none"/>
        </w:rPr>
      </w:pPr>
    </w:p>
    <w:p w14:paraId="7717A97C">
      <w:pPr>
        <w:pStyle w:val="30"/>
        <w:outlineLvl w:val="9"/>
        <w:rPr>
          <w:rFonts w:hint="eastAsia" w:asciiTheme="minorEastAsia" w:hAnsiTheme="minorEastAsia" w:eastAsiaTheme="minorEastAsia"/>
          <w:color w:val="auto"/>
          <w:sz w:val="24"/>
          <w:highlight w:val="none"/>
        </w:rPr>
      </w:pPr>
    </w:p>
    <w:p w14:paraId="69A40851">
      <w:pPr>
        <w:pStyle w:val="30"/>
        <w:outlineLvl w:val="9"/>
        <w:rPr>
          <w:rFonts w:hint="eastAsia" w:asciiTheme="minorEastAsia" w:hAnsiTheme="minorEastAsia" w:eastAsiaTheme="minorEastAsia"/>
          <w:color w:val="auto"/>
          <w:sz w:val="24"/>
          <w:highlight w:val="none"/>
        </w:rPr>
      </w:pPr>
    </w:p>
    <w:p w14:paraId="2EB66615">
      <w:pPr>
        <w:pStyle w:val="30"/>
        <w:outlineLvl w:val="9"/>
        <w:rPr>
          <w:rFonts w:hint="eastAsia" w:asciiTheme="minorEastAsia" w:hAnsiTheme="minorEastAsia" w:eastAsiaTheme="minorEastAsia"/>
          <w:color w:val="auto"/>
          <w:sz w:val="24"/>
          <w:highlight w:val="none"/>
        </w:rPr>
      </w:pPr>
    </w:p>
    <w:p w14:paraId="6357C3C1">
      <w:pPr>
        <w:pStyle w:val="30"/>
        <w:outlineLvl w:val="9"/>
        <w:rPr>
          <w:rFonts w:hint="eastAsia" w:asciiTheme="minorEastAsia" w:hAnsiTheme="minorEastAsia" w:eastAsiaTheme="minorEastAsia"/>
          <w:color w:val="auto"/>
          <w:sz w:val="24"/>
          <w:highlight w:val="none"/>
        </w:rPr>
      </w:pPr>
    </w:p>
    <w:p w14:paraId="5E4D6B89">
      <w:pPr>
        <w:pStyle w:val="30"/>
        <w:outlineLvl w:val="9"/>
        <w:rPr>
          <w:rFonts w:hint="eastAsia" w:asciiTheme="minorEastAsia" w:hAnsiTheme="minorEastAsia" w:eastAsiaTheme="minorEastAsia"/>
          <w:color w:val="auto"/>
          <w:sz w:val="24"/>
          <w:highlight w:val="none"/>
        </w:rPr>
      </w:pPr>
    </w:p>
    <w:p w14:paraId="2D0AD1CF">
      <w:pPr>
        <w:pStyle w:val="30"/>
        <w:outlineLvl w:val="9"/>
        <w:rPr>
          <w:rFonts w:hint="eastAsia" w:asciiTheme="minorEastAsia" w:hAnsiTheme="minorEastAsia" w:eastAsiaTheme="minorEastAsia"/>
          <w:color w:val="auto"/>
          <w:sz w:val="24"/>
          <w:highlight w:val="none"/>
        </w:rPr>
      </w:pPr>
    </w:p>
    <w:p w14:paraId="788AB848">
      <w:pPr>
        <w:pStyle w:val="30"/>
        <w:outlineLvl w:val="9"/>
        <w:rPr>
          <w:rFonts w:hint="eastAsia" w:asciiTheme="minorEastAsia" w:hAnsiTheme="minorEastAsia" w:eastAsiaTheme="minorEastAsia"/>
          <w:color w:val="auto"/>
          <w:sz w:val="24"/>
          <w:highlight w:val="none"/>
        </w:rPr>
      </w:pPr>
    </w:p>
    <w:p w14:paraId="354E6580">
      <w:pPr>
        <w:pStyle w:val="30"/>
        <w:outlineLvl w:val="9"/>
        <w:rPr>
          <w:rFonts w:hint="eastAsia" w:asciiTheme="minorEastAsia" w:hAnsiTheme="minorEastAsia" w:eastAsiaTheme="minorEastAsia"/>
          <w:color w:val="auto"/>
          <w:sz w:val="24"/>
          <w:highlight w:val="none"/>
        </w:rPr>
      </w:pPr>
    </w:p>
    <w:p w14:paraId="2454B005">
      <w:pPr>
        <w:pStyle w:val="30"/>
        <w:outlineLvl w:val="9"/>
        <w:rPr>
          <w:rFonts w:hint="eastAsia" w:asciiTheme="minorEastAsia" w:hAnsiTheme="minorEastAsia" w:eastAsiaTheme="minorEastAsia"/>
          <w:color w:val="auto"/>
          <w:sz w:val="24"/>
          <w:highlight w:val="none"/>
        </w:rPr>
      </w:pPr>
    </w:p>
    <w:p w14:paraId="208F147B">
      <w:pPr>
        <w:pStyle w:val="30"/>
        <w:outlineLvl w:val="9"/>
        <w:rPr>
          <w:rFonts w:hint="eastAsia" w:asciiTheme="minorEastAsia" w:hAnsiTheme="minorEastAsia" w:eastAsiaTheme="minorEastAsia"/>
          <w:color w:val="auto"/>
          <w:sz w:val="24"/>
          <w:highlight w:val="none"/>
        </w:rPr>
      </w:pPr>
    </w:p>
    <w:p w14:paraId="1DBF91CC">
      <w:pPr>
        <w:pStyle w:val="30"/>
        <w:outlineLvl w:val="9"/>
        <w:rPr>
          <w:rFonts w:hint="eastAsia" w:asciiTheme="minorEastAsia" w:hAnsiTheme="minorEastAsia" w:eastAsiaTheme="minorEastAsia"/>
          <w:color w:val="auto"/>
          <w:sz w:val="24"/>
          <w:highlight w:val="none"/>
        </w:rPr>
      </w:pPr>
    </w:p>
    <w:p w14:paraId="62DD69BC">
      <w:pPr>
        <w:pStyle w:val="30"/>
        <w:outlineLvl w:val="9"/>
        <w:rPr>
          <w:rFonts w:hint="eastAsia" w:asciiTheme="minorEastAsia" w:hAnsiTheme="minorEastAsia" w:eastAsiaTheme="minorEastAsia"/>
          <w:color w:val="auto"/>
          <w:sz w:val="24"/>
          <w:highlight w:val="none"/>
        </w:rPr>
      </w:pPr>
    </w:p>
    <w:p w14:paraId="1D4DE9E1">
      <w:pPr>
        <w:keepNext/>
        <w:keepLines/>
        <w:pageBreakBefore w:val="0"/>
        <w:widowControl w:val="0"/>
        <w:kinsoku/>
        <w:overflowPunct/>
        <w:topLinePunct w:val="0"/>
        <w:autoSpaceDE/>
        <w:autoSpaceDN/>
        <w:bidi w:val="0"/>
        <w:spacing w:before="200" w:after="200" w:line="400" w:lineRule="exact"/>
        <w:textAlignment w:val="auto"/>
        <w:outlineLvl w:val="0"/>
        <w:rPr>
          <w:rFonts w:hint="eastAsia" w:ascii="仿宋" w:hAnsi="仿宋" w:eastAsia="仿宋" w:cs="仿宋"/>
          <w:b/>
          <w:bCs/>
          <w:color w:val="auto"/>
          <w:kern w:val="44"/>
          <w:sz w:val="32"/>
          <w:szCs w:val="32"/>
          <w:highlight w:val="none"/>
        </w:rPr>
      </w:pPr>
      <w:bookmarkStart w:id="32" w:name="OLE_LINK7"/>
      <w:bookmarkStart w:id="33" w:name="OLE_LINK25"/>
      <w:bookmarkStart w:id="34" w:name="OLE_LINK24"/>
      <w:r>
        <w:rPr>
          <w:rFonts w:hint="eastAsia" w:ascii="仿宋" w:hAnsi="仿宋" w:eastAsia="仿宋" w:cs="仿宋"/>
          <w:b/>
          <w:bCs/>
          <w:color w:val="auto"/>
          <w:kern w:val="44"/>
          <w:sz w:val="32"/>
          <w:szCs w:val="32"/>
          <w:highlight w:val="none"/>
        </w:rPr>
        <w:t xml:space="preserve">附件1 </w:t>
      </w:r>
    </w:p>
    <w:p w14:paraId="5EE75B05">
      <w:pPr>
        <w:keepNext/>
        <w:keepLines/>
        <w:pageBreakBefore w:val="0"/>
        <w:widowControl w:val="0"/>
        <w:kinsoku/>
        <w:overflowPunct/>
        <w:topLinePunct w:val="0"/>
        <w:autoSpaceDE/>
        <w:autoSpaceDN/>
        <w:bidi w:val="0"/>
        <w:spacing w:before="200" w:after="200" w:line="400" w:lineRule="exact"/>
        <w:jc w:val="center"/>
        <w:textAlignment w:val="auto"/>
        <w:outlineLvl w:val="0"/>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32"/>
          <w:szCs w:val="32"/>
          <w:highlight w:val="none"/>
        </w:rPr>
        <w:t>关于联合惩戒失信行为加强信用查询管理的通知</w:t>
      </w:r>
    </w:p>
    <w:bookmarkEnd w:id="32"/>
    <w:p w14:paraId="24E6DC6A">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一、失信行为联合惩戒的范围和查询渠道</w:t>
      </w:r>
    </w:p>
    <w:p w14:paraId="455FEEE9">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在我市公共资源交易活动中对存在下列失信行为的投标人、法定代表人及其项目经理（建造师）实施联合惩戒，禁止参与我市公共资源交易活动。</w:t>
      </w:r>
    </w:p>
    <w:p w14:paraId="6ADF52F9">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（一）工程建设项目</w:t>
      </w:r>
    </w:p>
    <w:bookmarkEnd w:id="33"/>
    <w:bookmarkEnd w:id="34"/>
    <w:p w14:paraId="54E68DF5">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1、“信用中国”网站（www.creditchina.gov.cn）查询</w:t>
      </w:r>
      <w:bookmarkStart w:id="35" w:name="OLE_LINK93"/>
      <w:bookmarkStart w:id="36" w:name="OLE_LINK91"/>
      <w:bookmarkStart w:id="37" w:name="OLE_LINK103"/>
      <w:bookmarkStart w:id="38" w:name="OLE_LINK92"/>
      <w:r>
        <w:rPr>
          <w:rFonts w:hint="eastAsia" w:ascii="仿宋" w:hAnsi="仿宋" w:eastAsia="仿宋" w:cs="仿宋"/>
          <w:color w:val="auto"/>
          <w:sz w:val="24"/>
          <w:szCs w:val="24"/>
          <w:highlight w:val="none"/>
        </w:rPr>
        <w:t>投标人、法定代表人及其项目经理(建造师)</w:t>
      </w:r>
      <w:bookmarkEnd w:id="35"/>
      <w:bookmarkEnd w:id="36"/>
      <w:bookmarkEnd w:id="37"/>
      <w:bookmarkEnd w:id="38"/>
      <w:r>
        <w:rPr>
          <w:rFonts w:hint="eastAsia" w:ascii="仿宋" w:hAnsi="仿宋" w:eastAsia="仿宋" w:cs="仿宋"/>
          <w:color w:val="auto"/>
          <w:sz w:val="24"/>
          <w:szCs w:val="24"/>
          <w:highlight w:val="none"/>
        </w:rPr>
        <w:t>以下失信行为：</w:t>
      </w:r>
    </w:p>
    <w:p w14:paraId="21CC5483">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39" w:name="OLE_LINK94"/>
      <w:bookmarkStart w:id="40" w:name="OLE_LINK87"/>
      <w:bookmarkStart w:id="41" w:name="OLE_LINK119"/>
      <w:bookmarkStart w:id="42" w:name="OLE_LINK86"/>
      <w:bookmarkStart w:id="43" w:name="OLE_LINK3"/>
      <w:r>
        <w:rPr>
          <w:rFonts w:hint="eastAsia" w:ascii="仿宋" w:hAnsi="仿宋" w:eastAsia="仿宋" w:cs="仿宋"/>
          <w:color w:val="auto"/>
          <w:sz w:val="24"/>
          <w:szCs w:val="24"/>
          <w:highlight w:val="none"/>
        </w:rPr>
        <w:t>①被列入“失信被执行人”的;</w:t>
      </w:r>
    </w:p>
    <w:p w14:paraId="3B33A91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②被列入</w:t>
      </w:r>
      <w:bookmarkStart w:id="44" w:name="OLE_LINK118"/>
      <w:bookmarkStart w:id="45" w:name="OLE_LINK116"/>
      <w:bookmarkStart w:id="46" w:name="OLE_LINK117"/>
      <w:bookmarkStart w:id="47" w:name="OLE_LINK115"/>
      <w:r>
        <w:rPr>
          <w:rFonts w:hint="eastAsia" w:ascii="仿宋" w:hAnsi="仿宋" w:eastAsia="仿宋" w:cs="仿宋"/>
          <w:color w:val="auto"/>
          <w:sz w:val="24"/>
          <w:szCs w:val="24"/>
          <w:highlight w:val="none"/>
        </w:rPr>
        <w:t>“重大税收违法失信主体”</w:t>
      </w:r>
      <w:bookmarkEnd w:id="44"/>
      <w:bookmarkEnd w:id="45"/>
      <w:bookmarkEnd w:id="46"/>
      <w:bookmarkEnd w:id="47"/>
      <w:r>
        <w:rPr>
          <w:rFonts w:hint="eastAsia" w:ascii="仿宋" w:hAnsi="仿宋" w:eastAsia="仿宋" w:cs="仿宋"/>
          <w:color w:val="auto"/>
          <w:sz w:val="24"/>
          <w:szCs w:val="24"/>
          <w:highlight w:val="none"/>
        </w:rPr>
        <w:t>的；</w:t>
      </w:r>
    </w:p>
    <w:p w14:paraId="4E7631B8">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③被列入“拖欠</w:t>
      </w:r>
      <w:bookmarkStart w:id="48" w:name="OLE_LINK85"/>
      <w:bookmarkStart w:id="49" w:name="OLE_LINK84"/>
      <w:r>
        <w:rPr>
          <w:rFonts w:hint="eastAsia" w:ascii="仿宋" w:hAnsi="仿宋" w:eastAsia="仿宋" w:cs="仿宋"/>
          <w:color w:val="auto"/>
          <w:sz w:val="24"/>
          <w:szCs w:val="24"/>
          <w:highlight w:val="none"/>
        </w:rPr>
        <w:t>农民工工资失信联合惩戒对象</w:t>
      </w:r>
      <w:bookmarkEnd w:id="48"/>
      <w:bookmarkEnd w:id="49"/>
      <w:r>
        <w:rPr>
          <w:rFonts w:hint="eastAsia" w:ascii="仿宋" w:hAnsi="仿宋" w:eastAsia="仿宋" w:cs="仿宋"/>
          <w:color w:val="auto"/>
          <w:sz w:val="24"/>
          <w:szCs w:val="24"/>
          <w:highlight w:val="none"/>
        </w:rPr>
        <w:t>名单”的；</w:t>
      </w:r>
    </w:p>
    <w:p w14:paraId="36043C40">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④被列入 “严重失信主体名单”的；</w:t>
      </w:r>
    </w:p>
    <w:p w14:paraId="53F5DAD6">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⑤在“信用中国”网站上披露的仍在公示期的严重失信行为(具体行为类别及判定依据见附件2)的。</w:t>
      </w:r>
    </w:p>
    <w:bookmarkEnd w:id="39"/>
    <w:bookmarkEnd w:id="40"/>
    <w:bookmarkEnd w:id="41"/>
    <w:bookmarkEnd w:id="42"/>
    <w:bookmarkEnd w:id="43"/>
    <w:p w14:paraId="17C27307">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50" w:name="OLE_LINK130"/>
      <w:r>
        <w:rPr>
          <w:rFonts w:hint="eastAsia" w:ascii="仿宋" w:hAnsi="仿宋" w:eastAsia="仿宋" w:cs="仿宋"/>
          <w:color w:val="auto"/>
          <w:sz w:val="24"/>
          <w:szCs w:val="24"/>
          <w:highlight w:val="none"/>
        </w:rPr>
        <w:t>国家企业信用信息公示系统网站</w:t>
      </w:r>
      <w:bookmarkEnd w:id="50"/>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"http://www.gsxt.gov.cn）查询" </w:instrText>
      </w:r>
      <w:r>
        <w:rPr>
          <w:rFonts w:hint="eastAsia" w:ascii="仿宋" w:hAnsi="仿宋" w:eastAsia="仿宋" w:cs="仿宋"/>
          <w:color w:val="auto"/>
          <w:sz w:val="24"/>
          <w:szCs w:val="24"/>
          <w:highlight w:val="none"/>
        </w:rPr>
        <w:fldChar w:fldCharType="separate"/>
      </w:r>
      <w:bookmarkStart w:id="51" w:name="OLE_LINK89"/>
      <w:bookmarkStart w:id="52" w:name="OLE_LINK90"/>
      <w:r>
        <w:rPr>
          <w:rStyle w:val="28"/>
          <w:rFonts w:hint="eastAsia" w:ascii="仿宋" w:hAnsi="仿宋" w:eastAsia="仿宋" w:cs="仿宋"/>
          <w:color w:val="auto"/>
          <w:sz w:val="24"/>
          <w:szCs w:val="24"/>
          <w:highlight w:val="none"/>
        </w:rPr>
        <w:t>www.gsxt.gov.cn</w:t>
      </w:r>
      <w:bookmarkEnd w:id="51"/>
      <w:bookmarkEnd w:id="52"/>
      <w:r>
        <w:rPr>
          <w:rStyle w:val="28"/>
          <w:rFonts w:hint="eastAsia" w:ascii="仿宋" w:hAnsi="仿宋" w:eastAsia="仿宋" w:cs="仿宋"/>
          <w:color w:val="auto"/>
          <w:sz w:val="24"/>
          <w:szCs w:val="24"/>
          <w:highlight w:val="none"/>
        </w:rPr>
        <w:t>）</w:t>
      </w:r>
      <w:r>
        <w:rPr>
          <w:rStyle w:val="28"/>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查询投标人以下失信行为：</w:t>
      </w:r>
    </w:p>
    <w:p w14:paraId="56BF9C37">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53" w:name="OLE_LINK120"/>
      <w:bookmarkStart w:id="54" w:name="OLE_LINK121"/>
      <w:bookmarkStart w:id="55" w:name="OLE_LINK122"/>
      <w:r>
        <w:rPr>
          <w:rFonts w:hint="eastAsia" w:ascii="仿宋" w:hAnsi="仿宋" w:eastAsia="仿宋" w:cs="仿宋"/>
          <w:color w:val="auto"/>
          <w:sz w:val="24"/>
          <w:szCs w:val="24"/>
          <w:highlight w:val="none"/>
        </w:rPr>
        <w:t>①</w:t>
      </w:r>
      <w:bookmarkStart w:id="56" w:name="OLE_LINK114"/>
      <w:bookmarkStart w:id="57" w:name="OLE_LINK113"/>
      <w:r>
        <w:rPr>
          <w:rFonts w:hint="eastAsia" w:ascii="仿宋" w:hAnsi="仿宋" w:eastAsia="仿宋" w:cs="仿宋"/>
          <w:color w:val="auto"/>
          <w:sz w:val="24"/>
          <w:szCs w:val="24"/>
          <w:highlight w:val="none"/>
        </w:rPr>
        <w:t>被列入“经营异常名录”或者“严重违法失信名单”的</w:t>
      </w:r>
      <w:bookmarkEnd w:id="56"/>
      <w:bookmarkEnd w:id="57"/>
      <w:r>
        <w:rPr>
          <w:rFonts w:hint="eastAsia" w:ascii="仿宋" w:hAnsi="仿宋" w:eastAsia="仿宋" w:cs="仿宋"/>
          <w:color w:val="auto"/>
          <w:sz w:val="24"/>
          <w:szCs w:val="24"/>
          <w:highlight w:val="none"/>
        </w:rPr>
        <w:t>。</w:t>
      </w:r>
      <w:bookmarkEnd w:id="53"/>
      <w:bookmarkEnd w:id="54"/>
      <w:bookmarkEnd w:id="55"/>
    </w:p>
    <w:p w14:paraId="1E92644B">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w:t>
      </w:r>
      <w:r>
        <w:rPr>
          <w:rFonts w:hint="eastAsia" w:ascii="仿宋" w:hAnsi="仿宋" w:eastAsia="仿宋" w:cs="仿宋"/>
          <w:color w:val="auto"/>
          <w:kern w:val="0"/>
          <w:sz w:val="24"/>
          <w:szCs w:val="24"/>
          <w:highlight w:val="none"/>
        </w:rPr>
        <w:t>投标人、法定代表人及其项目经理(建造师)</w:t>
      </w:r>
      <w:r>
        <w:rPr>
          <w:rFonts w:hint="eastAsia" w:ascii="仿宋" w:hAnsi="仿宋" w:eastAsia="仿宋" w:cs="仿宋"/>
          <w:color w:val="auto"/>
          <w:sz w:val="24"/>
          <w:szCs w:val="24"/>
          <w:highlight w:val="none"/>
        </w:rPr>
        <w:t>进行承诺，不进行现场网上信用查询的失信行为：</w:t>
      </w:r>
    </w:p>
    <w:p w14:paraId="4C7AD442">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58" w:name="OLE_LINK124"/>
      <w:bookmarkStart w:id="59" w:name="OLE_LINK123"/>
      <w:r>
        <w:rPr>
          <w:rFonts w:hint="eastAsia" w:ascii="仿宋" w:hAnsi="仿宋" w:eastAsia="仿宋" w:cs="仿宋"/>
          <w:color w:val="auto"/>
          <w:sz w:val="24"/>
          <w:szCs w:val="24"/>
          <w:highlight w:val="none"/>
        </w:rPr>
        <w:t>①前三年有行贿犯罪行为的单位和个人；</w:t>
      </w:r>
    </w:p>
    <w:p w14:paraId="7B3005EC">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②被滁州市县两级公管部门取消在一定期限内的投标资格且在取消期限内的；</w:t>
      </w:r>
    </w:p>
    <w:p w14:paraId="5BB5EA53">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③被滁州市县两级各行业主管部门取消在一定期限内的投标资格且在取消期限内的；</w:t>
      </w:r>
    </w:p>
    <w:p w14:paraId="4260D52F">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④因拖欠农民工工资被</w:t>
      </w:r>
      <w:bookmarkStart w:id="60" w:name="OLE_LINK107"/>
      <w:bookmarkStart w:id="61" w:name="OLE_LINK108"/>
      <w:r>
        <w:rPr>
          <w:rFonts w:hint="eastAsia" w:ascii="仿宋" w:hAnsi="仿宋" w:eastAsia="仿宋" w:cs="仿宋"/>
          <w:color w:val="auto"/>
          <w:sz w:val="24"/>
          <w:szCs w:val="24"/>
          <w:highlight w:val="none"/>
        </w:rPr>
        <w:t>县级及以上有关行政主管部门限制投标资格且在限制期限内的</w:t>
      </w:r>
      <w:bookmarkEnd w:id="60"/>
      <w:bookmarkEnd w:id="61"/>
      <w:r>
        <w:rPr>
          <w:rFonts w:hint="eastAsia" w:ascii="仿宋" w:hAnsi="仿宋" w:eastAsia="仿宋" w:cs="仿宋"/>
          <w:color w:val="auto"/>
          <w:sz w:val="24"/>
          <w:szCs w:val="24"/>
          <w:highlight w:val="none"/>
        </w:rPr>
        <w:t>；</w:t>
      </w:r>
    </w:p>
    <w:p w14:paraId="7C3CCD73">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58"/>
    <w:bookmarkEnd w:id="59"/>
    <w:p w14:paraId="7609E87A">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（二）政府采购项目</w:t>
      </w:r>
    </w:p>
    <w:p w14:paraId="776D282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1、“信用中国”网站（</w:t>
      </w:r>
      <w:r>
        <w:rPr>
          <w:rStyle w:val="28"/>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rPr>
        <w:t>）查询供应商、法定代表人及其项目负责人以下失信行为：</w:t>
      </w:r>
    </w:p>
    <w:p w14:paraId="44AD1CDC">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①被列入“失信被执行人”的;</w:t>
      </w:r>
    </w:p>
    <w:p w14:paraId="300C216F">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②被列入“重大税收违法失信主体”的；</w:t>
      </w:r>
    </w:p>
    <w:p w14:paraId="1B3C4D5C">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③被列入 “严重失信主体名单”的；</w:t>
      </w:r>
    </w:p>
    <w:p w14:paraId="31A676F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④在“信用中国”网站上披露的仍在公示期的严重失信行为(具体行为类别及判定依据见附件2)的。</w:t>
      </w:r>
    </w:p>
    <w:p w14:paraId="4894ABB1">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2、国家企业信用信息公示系统网站（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"http://www.gsxt.gov.cn）查询"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www.gsxt.gov.cn）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查询供应商以下失信行为：</w:t>
      </w:r>
    </w:p>
    <w:p w14:paraId="53B0EBA3">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bookmarkStart w:id="62" w:name="OLE_LINK100"/>
      <w:bookmarkStart w:id="63" w:name="OLE_LINK102"/>
      <w:bookmarkStart w:id="64" w:name="OLE_LINK101"/>
      <w:r>
        <w:rPr>
          <w:rFonts w:hint="eastAsia" w:ascii="仿宋" w:hAnsi="仿宋" w:eastAsia="仿宋" w:cs="仿宋"/>
          <w:color w:val="auto"/>
          <w:sz w:val="24"/>
          <w:szCs w:val="24"/>
          <w:highlight w:val="none"/>
        </w:rPr>
        <w:t>被列入“经营异常名录”或者“严重违法失信名单”的</w:t>
      </w:r>
      <w:bookmarkEnd w:id="62"/>
      <w:bookmarkEnd w:id="63"/>
      <w:bookmarkEnd w:id="64"/>
      <w:r>
        <w:rPr>
          <w:rFonts w:hint="eastAsia" w:ascii="仿宋" w:hAnsi="仿宋" w:eastAsia="仿宋" w:cs="仿宋"/>
          <w:color w:val="auto"/>
          <w:sz w:val="24"/>
          <w:szCs w:val="24"/>
          <w:highlight w:val="none"/>
        </w:rPr>
        <w:t>。</w:t>
      </w:r>
    </w:p>
    <w:p w14:paraId="34C21F72">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3、中国政府采购网站（</w:t>
      </w:r>
      <w:bookmarkStart w:id="65" w:name="OLE_LINK96"/>
      <w:bookmarkStart w:id="66" w:name="OLE_LINK95"/>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rPr>
        <w:fldChar w:fldCharType="end"/>
      </w:r>
      <w:bookmarkEnd w:id="65"/>
      <w:bookmarkEnd w:id="66"/>
      <w:r>
        <w:rPr>
          <w:rFonts w:hint="eastAsia" w:ascii="仿宋" w:hAnsi="仿宋" w:eastAsia="仿宋" w:cs="仿宋"/>
          <w:color w:val="auto"/>
          <w:sz w:val="24"/>
          <w:szCs w:val="24"/>
          <w:highlight w:val="none"/>
        </w:rPr>
        <w:t>）查询以下失信行为：</w:t>
      </w:r>
    </w:p>
    <w:p w14:paraId="47A41AB8">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bookmarkStart w:id="67" w:name="OLE_LINK104"/>
      <w:bookmarkStart w:id="68" w:name="OLE_LINK106"/>
      <w:bookmarkStart w:id="69" w:name="OLE_LINK105"/>
      <w:r>
        <w:rPr>
          <w:rFonts w:hint="eastAsia" w:ascii="仿宋" w:hAnsi="仿宋" w:eastAsia="仿宋" w:cs="仿宋"/>
          <w:color w:val="auto"/>
          <w:sz w:val="24"/>
          <w:szCs w:val="24"/>
          <w:highlight w:val="none"/>
        </w:rPr>
        <w:t>被列入“政府采购严重违法失信行为信息记录”的</w:t>
      </w:r>
      <w:bookmarkEnd w:id="67"/>
      <w:bookmarkEnd w:id="68"/>
      <w:bookmarkEnd w:id="69"/>
      <w:r>
        <w:rPr>
          <w:rFonts w:hint="eastAsia" w:ascii="仿宋" w:hAnsi="仿宋" w:eastAsia="仿宋" w:cs="仿宋"/>
          <w:color w:val="auto"/>
          <w:sz w:val="24"/>
          <w:szCs w:val="24"/>
          <w:highlight w:val="none"/>
        </w:rPr>
        <w:t>。</w:t>
      </w:r>
    </w:p>
    <w:p w14:paraId="68E46A1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4、由竞争主体进行承诺，不进行现场网上信用查询的失信行为：</w:t>
      </w:r>
    </w:p>
    <w:p w14:paraId="6EAFD6FB">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①前三年有行贿犯罪行为的单位和个人。</w:t>
      </w:r>
    </w:p>
    <w:p w14:paraId="2395C39B">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二、在开评标活动中的查询程序</w:t>
      </w:r>
    </w:p>
    <w:p w14:paraId="14AEA0A3">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EF11F82">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A6D4A8E">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3、项目单位及其委托的代理机构应当做好信用查询结果截图和记录留存。</w:t>
      </w:r>
    </w:p>
    <w:p w14:paraId="05B871D8">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三、相关要求</w:t>
      </w:r>
    </w:p>
    <w:p w14:paraId="34ADF0D9">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12CBF60">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344E22C">
      <w:pPr>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"https://credit.ah.gov.cn/xinyong-fuwu/xvbahv/index.html"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https://credit.ah.gov.cn/xinyong-fuwu/xvbahv/index.html</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FD42D1A">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2、“信用中国”查询的严重失信行为判定依据为各行业主管部门下发的联合惩戒文件中规定的行为（按附件2执行）。</w:t>
      </w:r>
    </w:p>
    <w:p w14:paraId="3DED9500">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3、资格预审的项目以递交资格预审申请文件截止时间查询为准；资格后审的项目以递交投标文件截止时间查询为准。</w:t>
      </w:r>
    </w:p>
    <w:p w14:paraId="7573EF9D">
      <w:pPr>
        <w:pageBreakBefore w:val="0"/>
        <w:widowControl w:val="0"/>
        <w:kinsoku/>
        <w:overflowPunct/>
        <w:topLinePunct w:val="0"/>
        <w:autoSpaceDE/>
        <w:autoSpaceDN/>
        <w:bidi w:val="0"/>
        <w:spacing w:line="400" w:lineRule="exact"/>
        <w:textAlignment w:val="auto"/>
        <w:rPr>
          <w:rFonts w:hint="eastAsia" w:ascii="仿宋" w:hAnsi="仿宋" w:eastAsia="仿宋" w:cs="仿宋"/>
          <w:color w:val="auto"/>
          <w:highlight w:val="none"/>
        </w:rPr>
      </w:pPr>
    </w:p>
    <w:p w14:paraId="6FD80E25">
      <w:pPr>
        <w:keepNext/>
        <w:keepLines/>
        <w:pageBreakBefore w:val="0"/>
        <w:widowControl w:val="0"/>
        <w:kinsoku/>
        <w:overflowPunct/>
        <w:topLinePunct w:val="0"/>
        <w:autoSpaceDE/>
        <w:autoSpaceDN/>
        <w:bidi w:val="0"/>
        <w:spacing w:before="200" w:after="200" w:line="400" w:lineRule="exact"/>
        <w:textAlignment w:val="auto"/>
        <w:outlineLvl w:val="0"/>
        <w:rPr>
          <w:rFonts w:hint="eastAsia" w:ascii="仿宋" w:hAnsi="仿宋" w:eastAsia="仿宋" w:cs="仿宋"/>
          <w:b/>
          <w:bCs/>
          <w:color w:val="auto"/>
          <w:kern w:val="44"/>
          <w:sz w:val="32"/>
          <w:szCs w:val="32"/>
          <w:highlight w:val="none"/>
        </w:rPr>
      </w:pPr>
      <w:bookmarkStart w:id="70" w:name="_Toc95223549"/>
      <w:bookmarkStart w:id="71" w:name="OLE_LINK31"/>
      <w:bookmarkStart w:id="72" w:name="OLE_LINK32"/>
      <w:bookmarkStart w:id="73" w:name="OLE_LINK41"/>
      <w:r>
        <w:rPr>
          <w:rFonts w:hint="eastAsia" w:ascii="仿宋" w:hAnsi="仿宋" w:eastAsia="仿宋" w:cs="仿宋"/>
          <w:b/>
          <w:bCs/>
          <w:color w:val="auto"/>
          <w:kern w:val="44"/>
          <w:sz w:val="32"/>
          <w:szCs w:val="32"/>
          <w:highlight w:val="none"/>
        </w:rPr>
        <w:t xml:space="preserve">附件2 </w:t>
      </w:r>
      <w:bookmarkStart w:id="74" w:name="OLE_LINK74"/>
      <w:bookmarkStart w:id="75" w:name="OLE_LINK75"/>
    </w:p>
    <w:p w14:paraId="0918CF83">
      <w:pPr>
        <w:keepNext/>
        <w:keepLines/>
        <w:pageBreakBefore w:val="0"/>
        <w:widowControl w:val="0"/>
        <w:kinsoku/>
        <w:overflowPunct/>
        <w:topLinePunct w:val="0"/>
        <w:autoSpaceDE/>
        <w:autoSpaceDN/>
        <w:bidi w:val="0"/>
        <w:spacing w:before="200" w:after="200" w:line="400" w:lineRule="exact"/>
        <w:jc w:val="center"/>
        <w:textAlignment w:val="auto"/>
        <w:outlineLvl w:val="0"/>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“信用中国”查询的严重失信行为</w:t>
      </w:r>
      <w:bookmarkStart w:id="76" w:name="OLE_LINK39"/>
      <w:bookmarkStart w:id="77" w:name="OLE_LINK76"/>
      <w:bookmarkStart w:id="78" w:name="OLE_LINK38"/>
      <w:bookmarkStart w:id="79" w:name="OLE_LINK40"/>
      <w:r>
        <w:rPr>
          <w:rFonts w:hint="eastAsia" w:ascii="仿宋" w:hAnsi="仿宋" w:eastAsia="仿宋" w:cs="仿宋"/>
          <w:b/>
          <w:bCs/>
          <w:color w:val="auto"/>
          <w:kern w:val="44"/>
          <w:sz w:val="32"/>
          <w:szCs w:val="32"/>
          <w:highlight w:val="none"/>
        </w:rPr>
        <w:t>类别及判定依据</w:t>
      </w:r>
      <w:bookmarkEnd w:id="70"/>
      <w:bookmarkEnd w:id="74"/>
      <w:bookmarkEnd w:id="75"/>
      <w:bookmarkEnd w:id="76"/>
      <w:bookmarkEnd w:id="77"/>
      <w:bookmarkEnd w:id="78"/>
      <w:bookmarkEnd w:id="79"/>
    </w:p>
    <w:bookmarkEnd w:id="71"/>
    <w:bookmarkEnd w:id="72"/>
    <w:bookmarkEnd w:id="73"/>
    <w:p w14:paraId="319D212B">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“信用中国”查询的严重失信行为判定依据为各行业主管部门下发的联合惩戒文件中规定的行为。下面将部分类别的严重失信行为列举如下：</w:t>
      </w:r>
    </w:p>
    <w:p w14:paraId="02D33A1E">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一、安全生产领域严重失信行为：</w:t>
      </w:r>
    </w:p>
    <w:p w14:paraId="1BEFA144">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（一）下列发生生产安全事故的生产经营单位及其有关人员应当列入严重失信主体名单：</w:t>
      </w:r>
    </w:p>
    <w:p w14:paraId="2C885926">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1、发生特别重大、重大生产安全事故的生产经营单位及其主要负责人，以及经调查认定对该事故发生负有责任，应当列入名单的其他单位和人员；</w:t>
      </w:r>
    </w:p>
    <w:p w14:paraId="5B8E9C99">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2、12个月内累计发生2起以上较大生产安全事故的生产经营单位及其主要负责人；</w:t>
      </w:r>
    </w:p>
    <w:p w14:paraId="1437F1F7">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09DDC0B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4、瞒报、谎报生产安全事故的生产经营单位及其有关责任人员；</w:t>
      </w:r>
    </w:p>
    <w:p w14:paraId="531E8B4B">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5、发生生产安全事故后，不立即组织抢救或者在事故调查处理期间擅离职守或者逃匿的生产经营单位主要负责人。</w:t>
      </w:r>
    </w:p>
    <w:p w14:paraId="5F81F7A8">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（二）下列未发生生产安全事故，但因安全生产违法行为，受到行政处罚的生产经营单位或者机构及其有关人员，应当列入严重失信主体名单：</w:t>
      </w:r>
    </w:p>
    <w:p w14:paraId="4FA87CAA">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1、未依法取得安全生产相关许可或者许可被暂扣、吊销期间从事相关生产经营活动的生产经营单位及其主要负责人；</w:t>
      </w:r>
    </w:p>
    <w:p w14:paraId="1A66987E">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2、承担安全评价、认证、检测、检验职责的机构及其直接责任人员租借资质、挂靠、出具虚假报告或者证书的；</w:t>
      </w:r>
    </w:p>
    <w:p w14:paraId="6B820C4E">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3、在应急管理部门作出行政处罚后，有执行能力拒不执行或者逃避执行的生产经营单位及其主要负责人；</w:t>
      </w:r>
    </w:p>
    <w:p w14:paraId="62DFA9A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4、其他违反安全生产法律法规受到行政处罚，且性质恶劣、情节严重的。</w:t>
      </w:r>
    </w:p>
    <w:p w14:paraId="013CDAC6">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依据：《安全生产严重失信主体名单管理办法》（2023年8月8日应急管理部令第11号）</w:t>
      </w:r>
    </w:p>
    <w:p w14:paraId="41659DB0">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二、环境保护领域严重失信行为：</w:t>
      </w:r>
    </w:p>
    <w:p w14:paraId="17CCA20B">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（一）因为环境违法构成</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"https://baike.sogou.com/m/fullLemma?lid=10403954&amp;g_ut=3"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环境犯罪</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w:t>
      </w:r>
    </w:p>
    <w:p w14:paraId="66F0A0B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"https://baike.sogou.com/m/fullLemma?lid=76033123&amp;g_ut=3"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建设项目环境影响评价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文件未按规定通过审批，擅自开工建设的；</w:t>
      </w:r>
    </w:p>
    <w:p w14:paraId="43C61839">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（三）建设项目环保设施未建成、环保措施未落实、未通过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"https://baike.sogou.com/m/fullLemma?lid=6470550&amp;g_ut=3"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竣工环保验收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或者验收不合格，主体工程正式投入生产或者使用的；</w:t>
      </w:r>
    </w:p>
    <w:p w14:paraId="7E5297F8">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（四）建设项目性质、规模、地点、采用的生产工艺或者防治污染、防止生态破坏的措施发生重大变动，未重新报批环境影响评价文件，擅自投入生产或者使用的；</w:t>
      </w:r>
    </w:p>
    <w:p w14:paraId="7B772B4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（五）主要污染物排放总量超过控制指标的；</w:t>
      </w:r>
    </w:p>
    <w:p w14:paraId="42EDD7B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（六）私设暗管或者利用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"https://baike.sogou.com/m/fullLemma?lid=41657319&amp;g_ut=3"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渗井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、渗坑、裂隙、溶洞等排放、倾倒、处置水污染物，或者通过私设旁路排放</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"https://baike.sogou.com/m/fullLemma?lid=7758328&amp;g_ut=3"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大气污染物</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w:t>
      </w:r>
    </w:p>
    <w:p w14:paraId="6E205D2A">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（七）非法排放、倾倒、处置危险废物，或者向无</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"https://baike.sogou.com/m/fullLemma?lid=5923292&amp;g_ut=3"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经营许可证</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或者超出经营许可范围的单位或个人提供或者委托其收集、贮存、利用、处置危险废物的；</w:t>
      </w:r>
    </w:p>
    <w:p w14:paraId="34CA9C19">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"https://baike.sogou.com/m/fullLemma?lid=167759803&amp;g_ut=3"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环境违法行为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造成集中式生活饮用水水源取水中断的；</w:t>
      </w:r>
    </w:p>
    <w:p w14:paraId="3753A246">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（九）环境违法行为对生活饮用水水源保护区、自然保护区、</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"https://baike.sogou.com/m/fullLemma?lid=155199213&amp;g_ut=3"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国家重点生态功能区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、风景名胜区、居住功能区、</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"https://baike.sogou.com/m/fullLemma?lid=7757164&amp;g_ut=3" \t "https://baike.sogou.com/m/_blank"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基本农田保护区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等环境敏感区造成重大不利影响的；</w:t>
      </w:r>
    </w:p>
    <w:p w14:paraId="5F35601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（十）违法从事自然资源开发、交通基础设施建设，以及其他开发建设活动，造成严重生态破坏的；</w:t>
      </w:r>
    </w:p>
    <w:p w14:paraId="1967E8CC">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（十一）发生较大及以上突发环境事件的；</w:t>
      </w:r>
    </w:p>
    <w:p w14:paraId="2A6E359B">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（十二）被环保部门挂牌督办，整改逾期未完成的；</w:t>
      </w:r>
    </w:p>
    <w:p w14:paraId="6E6EA02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（十三）以暴力、威胁等方式拒绝、阻挠环保部门工作人员现场检查的；</w:t>
      </w:r>
    </w:p>
    <w:p w14:paraId="591DAD0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（十四）违反重污染天气应急预案有关规定，对重污染天气响应不力的。</w:t>
      </w:r>
    </w:p>
    <w:p w14:paraId="5C576A5C">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依据：《</w:t>
      </w:r>
      <w:bookmarkStart w:id="80" w:name="OLE_LINK8"/>
      <w:bookmarkStart w:id="81" w:name="OLE_LINK10"/>
      <w:bookmarkStart w:id="82" w:name="OLE_LINK9"/>
      <w:r>
        <w:rPr>
          <w:rFonts w:hint="eastAsia" w:ascii="仿宋" w:hAnsi="仿宋" w:eastAsia="仿宋" w:cs="仿宋"/>
          <w:b/>
          <w:color w:val="auto"/>
          <w:sz w:val="24"/>
          <w:szCs w:val="24"/>
          <w:highlight w:val="none"/>
        </w:rPr>
        <w:t>关于对环境保护领域失信生产经营单位及其有关人员开展联合惩戒的合作备忘录</w:t>
      </w:r>
      <w:bookmarkEnd w:id="80"/>
      <w:bookmarkEnd w:id="81"/>
      <w:bookmarkEnd w:id="82"/>
      <w:r>
        <w:rPr>
          <w:rFonts w:hint="eastAsia" w:ascii="仿宋" w:hAnsi="仿宋" w:eastAsia="仿宋" w:cs="仿宋"/>
          <w:b/>
          <w:color w:val="auto"/>
          <w:sz w:val="24"/>
          <w:szCs w:val="24"/>
          <w:highlight w:val="none"/>
        </w:rPr>
        <w:t>》《</w:t>
      </w:r>
      <w:bookmarkStart w:id="83" w:name="OLE_LINK11"/>
      <w:bookmarkStart w:id="84" w:name="OLE_LINK12"/>
      <w:r>
        <w:rPr>
          <w:rFonts w:hint="eastAsia" w:ascii="仿宋" w:hAnsi="仿宋" w:eastAsia="仿宋" w:cs="仿宋"/>
          <w:b/>
          <w:color w:val="auto"/>
          <w:sz w:val="24"/>
          <w:szCs w:val="24"/>
          <w:highlight w:val="none"/>
        </w:rPr>
        <w:t>企业环境信用评价办法（试行）</w:t>
      </w:r>
      <w:bookmarkEnd w:id="83"/>
      <w:bookmarkEnd w:id="84"/>
      <w:r>
        <w:rPr>
          <w:rFonts w:hint="eastAsia" w:ascii="仿宋" w:hAnsi="仿宋" w:eastAsia="仿宋" w:cs="仿宋"/>
          <w:b/>
          <w:color w:val="auto"/>
          <w:sz w:val="24"/>
          <w:szCs w:val="24"/>
          <w:highlight w:val="none"/>
        </w:rPr>
        <w:t>》（环发〔2013〕150号）</w:t>
      </w:r>
    </w:p>
    <w:p w14:paraId="5D9FDC2F">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bCs/>
          <w:color w:val="auto"/>
          <w:sz w:val="24"/>
          <w:szCs w:val="24"/>
          <w:highlight w:val="none"/>
        </w:rPr>
        <w:t>公共资源交易领域严重失信行为</w:t>
      </w:r>
    </w:p>
    <w:p w14:paraId="2BEC3EF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（一）违反法律规定，必须进行招标的项目而不招标的，将必须进行招标的项目化整为零或者以其他任何方式规避招标的； </w:t>
      </w:r>
    </w:p>
    <w:p w14:paraId="3AC95431">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5A72F75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5BDCEA48">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679AFE69">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（五）投标人相互串通投标或者与招标人串通投标的，投标人以向招标人或者评标委员会成员行贿的手段谋取中标的； </w:t>
      </w:r>
    </w:p>
    <w:p w14:paraId="66014A13">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（六）投标人以他人名义投标或者以其他方式弄虚作假，骗取中标的；</w:t>
      </w:r>
    </w:p>
    <w:p w14:paraId="457FFF8C">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（七）依法必须进行招标的项目，招标人违反法律规定，与投标人就投标价格、投标方案等实质性内容进行谈判的；</w:t>
      </w:r>
    </w:p>
    <w:p w14:paraId="5EEA9BB1">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C42427D">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4E71E03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486AB8C5">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（十一）招标人与中标人不按照招标文件和中标人的投标文件订立合同的，或者招标人、中标人订立背离合同实质性内容的 协议的； </w:t>
      </w:r>
    </w:p>
    <w:p w14:paraId="616B3983">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（十二）中标人不按照与招标人订立的合同履行义务，情节严重的； </w:t>
      </w:r>
    </w:p>
    <w:p w14:paraId="722CE165">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E4FBF8A">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6F4BB7E">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（十五）采购人对应当实行集中采购的政府采购项目，不委托集中采购机构实行集中采购的； </w:t>
      </w:r>
    </w:p>
    <w:p w14:paraId="519C4BEF">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（十六）采购人、采购代理机构违反法律规定隐匿、销毁应当保存的采购文件或者伪造、变造采购文件的； </w:t>
      </w:r>
    </w:p>
    <w:p w14:paraId="08EB589D">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B72AA23">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（十八）疫苗生产企业向县级疾病预防控制机构以外的单位或者个人销售第二类疫苗的； </w:t>
      </w:r>
    </w:p>
    <w:p w14:paraId="03078105">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（十九）存在其他违反公共资源交易法律法规行为的。</w:t>
      </w:r>
    </w:p>
    <w:p w14:paraId="1E3ED23B">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依据：《</w:t>
      </w:r>
      <w:bookmarkStart w:id="85" w:name="OLE_LINK14"/>
      <w:bookmarkStart w:id="86" w:name="OLE_LINK13"/>
      <w:r>
        <w:rPr>
          <w:rFonts w:hint="eastAsia" w:ascii="仿宋" w:hAnsi="仿宋" w:eastAsia="仿宋" w:cs="仿宋"/>
          <w:b/>
          <w:color w:val="auto"/>
          <w:sz w:val="24"/>
          <w:szCs w:val="24"/>
          <w:highlight w:val="none"/>
        </w:rPr>
        <w:t>关于对公共资源交易领域严重失信主体开展联合惩戒的备忘录</w:t>
      </w:r>
      <w:bookmarkEnd w:id="85"/>
      <w:bookmarkEnd w:id="86"/>
      <w:r>
        <w:rPr>
          <w:rFonts w:hint="eastAsia" w:ascii="仿宋" w:hAnsi="仿宋" w:eastAsia="仿宋" w:cs="仿宋"/>
          <w:b/>
          <w:color w:val="auto"/>
          <w:sz w:val="24"/>
          <w:szCs w:val="24"/>
          <w:highlight w:val="none"/>
        </w:rPr>
        <w:t>》（发改法规〔2018〕457号）</w:t>
      </w:r>
    </w:p>
    <w:p w14:paraId="71912B5B">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bCs/>
          <w:color w:val="auto"/>
          <w:sz w:val="24"/>
          <w:szCs w:val="24"/>
          <w:highlight w:val="none"/>
        </w:rPr>
        <w:t>社会保险领域严重失信行为</w:t>
      </w:r>
    </w:p>
    <w:p w14:paraId="0E81DE4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（一）用人单位未按相关规定参加社会保险且拒不整改的； </w:t>
      </w:r>
    </w:p>
    <w:p w14:paraId="4AD01E5A">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（二）用人单位未如实申报社会保险缴费基数且拒不整改的； </w:t>
      </w:r>
    </w:p>
    <w:p w14:paraId="7E673450">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（三）应缴纳社会保险费却拒不缴纳的； </w:t>
      </w:r>
    </w:p>
    <w:p w14:paraId="654EC22E">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（四）隐匿、转移、侵占、挪用社会保险费款、基金或者违规投资运营的；</w:t>
      </w:r>
    </w:p>
    <w:p w14:paraId="2693EA2F">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（五）以欺诈、伪造证明材料或者其他手段参加、申报社会保险和骗取社会保险基金支出或社会保险待遇的； </w:t>
      </w:r>
    </w:p>
    <w:p w14:paraId="7DC78528">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（六）非法获取、出售或变相交易社会保险个人权益数据的； </w:t>
      </w:r>
    </w:p>
    <w:p w14:paraId="577A6754">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（七）社会保险服务机构违反服务协议或相关规定的； </w:t>
      </w:r>
    </w:p>
    <w:p w14:paraId="08DE184D">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0389F3EC">
      <w:pPr>
        <w:pageBreakBefore w:val="0"/>
        <w:widowControl w:val="0"/>
        <w:kinsoku/>
        <w:overflowPunct/>
        <w:topLinePunct w:val="0"/>
        <w:autoSpaceDE/>
        <w:autoSpaceDN/>
        <w:bidi w:val="0"/>
        <w:adjustRightInd w:val="0"/>
        <w:snapToGrid w:val="0"/>
        <w:spacing w:line="400" w:lineRule="exact"/>
        <w:ind w:left="141" w:leftChars="67"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（九）其他违反法律法规规定的。</w:t>
      </w:r>
    </w:p>
    <w:p w14:paraId="56CE344F">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依据：《</w:t>
      </w:r>
      <w:bookmarkStart w:id="87" w:name="OLE_LINK16"/>
      <w:bookmarkStart w:id="88" w:name="OLE_LINK15"/>
      <w:r>
        <w:rPr>
          <w:rFonts w:hint="eastAsia" w:ascii="仿宋" w:hAnsi="仿宋" w:eastAsia="仿宋" w:cs="仿宋"/>
          <w:b/>
          <w:color w:val="auto"/>
          <w:sz w:val="24"/>
          <w:szCs w:val="24"/>
          <w:highlight w:val="none"/>
        </w:rPr>
        <w:t>关于对社会保险领域严重失信企业及其有关人员实施联合惩戒的合作备忘录</w:t>
      </w:r>
      <w:bookmarkEnd w:id="87"/>
      <w:bookmarkEnd w:id="88"/>
      <w:r>
        <w:rPr>
          <w:rFonts w:hint="eastAsia" w:ascii="仿宋" w:hAnsi="仿宋" w:eastAsia="仿宋" w:cs="仿宋"/>
          <w:b/>
          <w:color w:val="auto"/>
          <w:sz w:val="24"/>
          <w:szCs w:val="24"/>
          <w:highlight w:val="none"/>
        </w:rPr>
        <w:t>》（发改财金〔2018〕1704号）</w:t>
      </w:r>
    </w:p>
    <w:p w14:paraId="1089E5E8">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五、建筑市场领域</w:t>
      </w:r>
      <w:r>
        <w:rPr>
          <w:rFonts w:hint="eastAsia" w:ascii="仿宋" w:hAnsi="仿宋" w:eastAsia="仿宋" w:cs="仿宋"/>
          <w:b/>
          <w:bCs/>
          <w:color w:val="auto"/>
          <w:sz w:val="24"/>
          <w:szCs w:val="24"/>
          <w:highlight w:val="none"/>
        </w:rPr>
        <w:t>严重失信行为</w:t>
      </w:r>
    </w:p>
    <w:p w14:paraId="70B3A850">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（一）利用虚假材料、以欺骗手段取得企业资质的；</w:t>
      </w:r>
    </w:p>
    <w:p w14:paraId="7356EC1D">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（二）发生转包、出借资质，受到行政处罚的；</w:t>
      </w:r>
    </w:p>
    <w:p w14:paraId="326477C8">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37679F31">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（四）经法院判决或仲裁机构裁决，认定为拖欠工程款,且拒不履行生效法律文书确定的义务的。</w:t>
      </w:r>
    </w:p>
    <w:p w14:paraId="5FDA771C">
      <w:pPr>
        <w:pageBreakBefore w:val="0"/>
        <w:widowControl w:val="0"/>
        <w:kinsoku/>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73225028">
      <w:pPr>
        <w:pageBreakBefore w:val="0"/>
        <w:widowControl w:val="0"/>
        <w:kinsoku/>
        <w:overflowPunct/>
        <w:topLinePunct w:val="0"/>
        <w:autoSpaceDE/>
        <w:autoSpaceDN/>
        <w:bidi w:val="0"/>
        <w:spacing w:line="400" w:lineRule="exact"/>
        <w:ind w:firstLine="482" w:firstLineChars="20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依据：《</w:t>
      </w:r>
      <w:bookmarkStart w:id="89" w:name="OLE_LINK17"/>
      <w:bookmarkStart w:id="90" w:name="OLE_LINK18"/>
      <w:r>
        <w:rPr>
          <w:rFonts w:hint="eastAsia" w:ascii="仿宋" w:hAnsi="仿宋" w:eastAsia="仿宋" w:cs="仿宋"/>
          <w:b/>
          <w:color w:val="auto"/>
          <w:sz w:val="24"/>
          <w:szCs w:val="24"/>
          <w:highlight w:val="none"/>
        </w:rPr>
        <w:t>建筑市场信用管理暂行办法</w:t>
      </w:r>
      <w:bookmarkEnd w:id="89"/>
      <w:bookmarkEnd w:id="90"/>
      <w:r>
        <w:rPr>
          <w:rFonts w:hint="eastAsia" w:ascii="仿宋" w:hAnsi="仿宋" w:eastAsia="仿宋" w:cs="仿宋"/>
          <w:b/>
          <w:color w:val="auto"/>
          <w:sz w:val="24"/>
          <w:szCs w:val="24"/>
          <w:highlight w:val="none"/>
        </w:rPr>
        <w:t>》（建市〔2017〕241号</w:t>
      </w:r>
      <w:r>
        <w:rPr>
          <w:rFonts w:hint="eastAsia" w:ascii="仿宋" w:hAnsi="仿宋" w:eastAsia="仿宋" w:cs="仿宋"/>
          <w:b/>
          <w:color w:val="auto"/>
          <w:sz w:val="24"/>
          <w:szCs w:val="24"/>
          <w:highlight w:val="none"/>
          <w:lang w:eastAsia="zh-CN"/>
        </w:rPr>
        <w:t>）</w:t>
      </w:r>
    </w:p>
    <w:p w14:paraId="3B28D49E">
      <w:pPr>
        <w:pageBreakBefore w:val="0"/>
        <w:widowControl w:val="0"/>
        <w:kinsoku/>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w:t>
      </w:r>
      <w:bookmarkStart w:id="91" w:name="OLE_LINK20"/>
      <w:bookmarkStart w:id="92" w:name="OLE_LINK19"/>
      <w:r>
        <w:rPr>
          <w:rFonts w:hint="eastAsia" w:ascii="仿宋" w:hAnsi="仿宋" w:eastAsia="仿宋" w:cs="仿宋"/>
          <w:b/>
          <w:color w:val="auto"/>
          <w:sz w:val="24"/>
          <w:szCs w:val="24"/>
          <w:highlight w:val="none"/>
        </w:rPr>
        <w:t>政府采购严重失信行为</w:t>
      </w:r>
      <w:bookmarkEnd w:id="91"/>
      <w:bookmarkEnd w:id="92"/>
    </w:p>
    <w:p w14:paraId="2EA8C72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供应商、采购代理机构在三年内受到财政部门作出下列情形之一的行政处罚，列入政府采购严重违法失信行为记录名单。</w:t>
      </w:r>
    </w:p>
    <w:p w14:paraId="7880BCCB">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（一）三万元以上罚款；</w:t>
      </w:r>
    </w:p>
    <w:p w14:paraId="4D78A3CA">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（二）在一至三年内禁止参加政府采购活动（处罚期限届满的除外）；</w:t>
      </w:r>
    </w:p>
    <w:p w14:paraId="6BFA0296">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（三）在一至三年内禁止代理政府采购业务（处罚期限届满的除外）；</w:t>
      </w:r>
    </w:p>
    <w:p w14:paraId="609BB520">
      <w:pPr>
        <w:pageBreakBefore w:val="0"/>
        <w:widowControl w:val="0"/>
        <w:kinsoku/>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（四）撤销政府采购代理机构资格（仅针对《政府采购法》第78条修改前作出的处罚决定）。</w:t>
      </w:r>
    </w:p>
    <w:p w14:paraId="4F3CB92B">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依据：《关于报送政府采购严重违法失信行为信息记录的通知》（财办库〔2014〕526号）</w:t>
      </w:r>
    </w:p>
    <w:p w14:paraId="4E12A14D">
      <w:pPr>
        <w:pageBreakBefore w:val="0"/>
        <w:widowControl w:val="0"/>
        <w:kinsoku/>
        <w:overflowPunct/>
        <w:topLinePunct w:val="0"/>
        <w:autoSpaceDE/>
        <w:autoSpaceDN/>
        <w:bidi w:val="0"/>
        <w:adjustRightInd w:val="0"/>
        <w:snapToGrid w:val="0"/>
        <w:spacing w:line="400" w:lineRule="exact"/>
        <w:ind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color w:val="auto"/>
          <w:sz w:val="24"/>
          <w:szCs w:val="24"/>
          <w:highlight w:val="none"/>
        </w:rPr>
        <w:t>未列出的其他类别严重失信行为，由招标人（代理机构）根据各类别行业主管部门下发的联合惩戒文件进行判断。</w:t>
      </w:r>
    </w:p>
    <w:p w14:paraId="26012247">
      <w:pPr>
        <w:spacing w:line="440" w:lineRule="exact"/>
        <w:jc w:val="both"/>
        <w:outlineLvl w:val="9"/>
        <w:rPr>
          <w:rFonts w:hint="eastAsia" w:ascii="宋体" w:hAnsi="宋体" w:cs="宋体"/>
          <w:b/>
          <w:color w:val="auto"/>
          <w:sz w:val="32"/>
          <w:szCs w:val="32"/>
          <w:highlight w:val="none"/>
        </w:rPr>
      </w:pPr>
    </w:p>
    <w:p w14:paraId="7E042E40">
      <w:pPr>
        <w:spacing w:line="440" w:lineRule="exact"/>
        <w:jc w:val="both"/>
        <w:outlineLvl w:val="9"/>
        <w:rPr>
          <w:rFonts w:hint="eastAsia" w:ascii="宋体" w:hAnsi="宋体" w:cs="宋体"/>
          <w:b/>
          <w:color w:val="auto"/>
          <w:sz w:val="32"/>
          <w:szCs w:val="32"/>
          <w:highlight w:val="none"/>
        </w:rPr>
      </w:pPr>
    </w:p>
    <w:p w14:paraId="19F836F9">
      <w:pPr>
        <w:spacing w:line="440" w:lineRule="exact"/>
        <w:jc w:val="both"/>
        <w:outlineLvl w:val="9"/>
        <w:rPr>
          <w:rFonts w:hint="eastAsia" w:ascii="宋体" w:hAnsi="宋体" w:cs="宋体"/>
          <w:b/>
          <w:color w:val="auto"/>
          <w:sz w:val="32"/>
          <w:szCs w:val="32"/>
          <w:highlight w:val="none"/>
        </w:rPr>
      </w:pPr>
    </w:p>
    <w:p w14:paraId="761B711B">
      <w:pPr>
        <w:spacing w:line="440" w:lineRule="exact"/>
        <w:jc w:val="both"/>
        <w:outlineLvl w:val="9"/>
        <w:rPr>
          <w:rFonts w:hint="eastAsia" w:ascii="宋体" w:hAnsi="宋体" w:cs="宋体"/>
          <w:b/>
          <w:color w:val="auto"/>
          <w:sz w:val="32"/>
          <w:szCs w:val="32"/>
          <w:highlight w:val="none"/>
        </w:rPr>
      </w:pPr>
    </w:p>
    <w:p w14:paraId="420A9815">
      <w:pPr>
        <w:spacing w:line="440" w:lineRule="exact"/>
        <w:jc w:val="both"/>
        <w:outlineLvl w:val="0"/>
        <w:rPr>
          <w:rFonts w:hint="eastAsia" w:ascii="宋体" w:hAnsi="宋体" w:cs="宋体"/>
          <w:b/>
          <w:color w:val="auto"/>
          <w:sz w:val="32"/>
          <w:szCs w:val="32"/>
          <w:highlight w:val="none"/>
        </w:rPr>
      </w:pPr>
    </w:p>
    <w:p w14:paraId="069273AD">
      <w:pPr>
        <w:pStyle w:val="30"/>
        <w:ind w:left="0" w:leftChars="0" w:firstLine="0" w:firstLineChars="0"/>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3FBE">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596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A67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1082">
    <w:pPr>
      <w:pStyle w:val="16"/>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2940"/>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747B3E"/>
    <w:rsid w:val="0980799C"/>
    <w:rsid w:val="09944B8E"/>
    <w:rsid w:val="0A6A18DB"/>
    <w:rsid w:val="0A975B48"/>
    <w:rsid w:val="0AEF3828"/>
    <w:rsid w:val="0B233DB2"/>
    <w:rsid w:val="0B406381"/>
    <w:rsid w:val="0BB452AA"/>
    <w:rsid w:val="0BBB665B"/>
    <w:rsid w:val="0CA14046"/>
    <w:rsid w:val="0CAA6E21"/>
    <w:rsid w:val="0DF04D08"/>
    <w:rsid w:val="0ECD35A3"/>
    <w:rsid w:val="0EEA6FC1"/>
    <w:rsid w:val="0EEF3211"/>
    <w:rsid w:val="0F790928"/>
    <w:rsid w:val="10CD72BB"/>
    <w:rsid w:val="112E6AAD"/>
    <w:rsid w:val="12197477"/>
    <w:rsid w:val="12380A2C"/>
    <w:rsid w:val="131B5CD3"/>
    <w:rsid w:val="13776448"/>
    <w:rsid w:val="1466407E"/>
    <w:rsid w:val="14834E28"/>
    <w:rsid w:val="148E7D65"/>
    <w:rsid w:val="14BA613B"/>
    <w:rsid w:val="14FC608F"/>
    <w:rsid w:val="15231BF9"/>
    <w:rsid w:val="15441E8D"/>
    <w:rsid w:val="15C4546D"/>
    <w:rsid w:val="186C6E32"/>
    <w:rsid w:val="19526F10"/>
    <w:rsid w:val="1A064976"/>
    <w:rsid w:val="1A3108B0"/>
    <w:rsid w:val="1A3B68AA"/>
    <w:rsid w:val="1A3E1C1E"/>
    <w:rsid w:val="1B6F4F40"/>
    <w:rsid w:val="1C141836"/>
    <w:rsid w:val="1C76537D"/>
    <w:rsid w:val="1DE451CB"/>
    <w:rsid w:val="1E6B6A14"/>
    <w:rsid w:val="1EEF00B4"/>
    <w:rsid w:val="20550D9A"/>
    <w:rsid w:val="218E2416"/>
    <w:rsid w:val="226915FE"/>
    <w:rsid w:val="241804A5"/>
    <w:rsid w:val="24B97929"/>
    <w:rsid w:val="24D632D7"/>
    <w:rsid w:val="25BA7C7E"/>
    <w:rsid w:val="27D65DBA"/>
    <w:rsid w:val="285F40CA"/>
    <w:rsid w:val="289E1AF0"/>
    <w:rsid w:val="28BE7A85"/>
    <w:rsid w:val="28C01ECB"/>
    <w:rsid w:val="29BF71E3"/>
    <w:rsid w:val="29D6387F"/>
    <w:rsid w:val="2A127B63"/>
    <w:rsid w:val="2A451A6C"/>
    <w:rsid w:val="2AAA4765"/>
    <w:rsid w:val="2AC21606"/>
    <w:rsid w:val="2B062266"/>
    <w:rsid w:val="2B7E7608"/>
    <w:rsid w:val="2B7F04E9"/>
    <w:rsid w:val="2B8B554A"/>
    <w:rsid w:val="2D2C4E0A"/>
    <w:rsid w:val="2D496D68"/>
    <w:rsid w:val="2E7A48DE"/>
    <w:rsid w:val="2EBA5177"/>
    <w:rsid w:val="2EDC3ED8"/>
    <w:rsid w:val="2F104B00"/>
    <w:rsid w:val="2F6351B4"/>
    <w:rsid w:val="2FC86126"/>
    <w:rsid w:val="2FCF199E"/>
    <w:rsid w:val="30483E83"/>
    <w:rsid w:val="30BF3991"/>
    <w:rsid w:val="3111619A"/>
    <w:rsid w:val="31935552"/>
    <w:rsid w:val="31B139DC"/>
    <w:rsid w:val="32497AF3"/>
    <w:rsid w:val="343C0775"/>
    <w:rsid w:val="353B47C2"/>
    <w:rsid w:val="356C50EC"/>
    <w:rsid w:val="36137E45"/>
    <w:rsid w:val="36376E0A"/>
    <w:rsid w:val="3700166C"/>
    <w:rsid w:val="376D39F8"/>
    <w:rsid w:val="379A1012"/>
    <w:rsid w:val="38694EE9"/>
    <w:rsid w:val="38C369F1"/>
    <w:rsid w:val="394A0CFB"/>
    <w:rsid w:val="39DD6043"/>
    <w:rsid w:val="3A6818FA"/>
    <w:rsid w:val="3B365CC9"/>
    <w:rsid w:val="3B46294E"/>
    <w:rsid w:val="3B9A7B88"/>
    <w:rsid w:val="3BD333EF"/>
    <w:rsid w:val="3D292CF7"/>
    <w:rsid w:val="3D2C7AC8"/>
    <w:rsid w:val="3D855D12"/>
    <w:rsid w:val="3D8B42FF"/>
    <w:rsid w:val="3DDA2813"/>
    <w:rsid w:val="3DE86C4C"/>
    <w:rsid w:val="3DF36A6E"/>
    <w:rsid w:val="3EBA1EE9"/>
    <w:rsid w:val="3F312C16"/>
    <w:rsid w:val="3F792F1E"/>
    <w:rsid w:val="3FBD063E"/>
    <w:rsid w:val="3FBD419A"/>
    <w:rsid w:val="40791AF0"/>
    <w:rsid w:val="40824826"/>
    <w:rsid w:val="40E63923"/>
    <w:rsid w:val="41B33AA7"/>
    <w:rsid w:val="43501882"/>
    <w:rsid w:val="43A91E5B"/>
    <w:rsid w:val="449E0D39"/>
    <w:rsid w:val="44E841C6"/>
    <w:rsid w:val="45E32B26"/>
    <w:rsid w:val="463A3650"/>
    <w:rsid w:val="46461627"/>
    <w:rsid w:val="469F0116"/>
    <w:rsid w:val="475259B7"/>
    <w:rsid w:val="488302AE"/>
    <w:rsid w:val="48831CF9"/>
    <w:rsid w:val="49024C9C"/>
    <w:rsid w:val="495F62C2"/>
    <w:rsid w:val="49B1408D"/>
    <w:rsid w:val="4A7D4FD2"/>
    <w:rsid w:val="4A913C9A"/>
    <w:rsid w:val="4AC7461F"/>
    <w:rsid w:val="4B1F2EC0"/>
    <w:rsid w:val="4B1F70AC"/>
    <w:rsid w:val="4B240F94"/>
    <w:rsid w:val="4C0832E5"/>
    <w:rsid w:val="4C0D46FC"/>
    <w:rsid w:val="4C3C565C"/>
    <w:rsid w:val="4CCC79C7"/>
    <w:rsid w:val="4D7555C7"/>
    <w:rsid w:val="4EAE6DA0"/>
    <w:rsid w:val="4F6665FD"/>
    <w:rsid w:val="4FE617D9"/>
    <w:rsid w:val="5016514B"/>
    <w:rsid w:val="50BD4DF3"/>
    <w:rsid w:val="50FC1A26"/>
    <w:rsid w:val="5137480A"/>
    <w:rsid w:val="51723664"/>
    <w:rsid w:val="51CB1C78"/>
    <w:rsid w:val="51FD6A51"/>
    <w:rsid w:val="526B680A"/>
    <w:rsid w:val="52836F71"/>
    <w:rsid w:val="52D26B02"/>
    <w:rsid w:val="537D3F15"/>
    <w:rsid w:val="541A5D30"/>
    <w:rsid w:val="54D133A1"/>
    <w:rsid w:val="555836E3"/>
    <w:rsid w:val="55C1559C"/>
    <w:rsid w:val="55F068CD"/>
    <w:rsid w:val="566C3136"/>
    <w:rsid w:val="568D04F2"/>
    <w:rsid w:val="581D136C"/>
    <w:rsid w:val="5A526582"/>
    <w:rsid w:val="5A5F5C77"/>
    <w:rsid w:val="5A711A0D"/>
    <w:rsid w:val="5B1613E4"/>
    <w:rsid w:val="5B78003B"/>
    <w:rsid w:val="5BC11A60"/>
    <w:rsid w:val="5C7A4D54"/>
    <w:rsid w:val="5CD23B73"/>
    <w:rsid w:val="5D4C6553"/>
    <w:rsid w:val="5F127819"/>
    <w:rsid w:val="60350ED3"/>
    <w:rsid w:val="60B72AEE"/>
    <w:rsid w:val="61025188"/>
    <w:rsid w:val="61057D5F"/>
    <w:rsid w:val="611D2084"/>
    <w:rsid w:val="614D4977"/>
    <w:rsid w:val="62421957"/>
    <w:rsid w:val="63C60FC0"/>
    <w:rsid w:val="64BA3D7A"/>
    <w:rsid w:val="64F179BC"/>
    <w:rsid w:val="655C66C3"/>
    <w:rsid w:val="665704D3"/>
    <w:rsid w:val="66A852F5"/>
    <w:rsid w:val="66AB0941"/>
    <w:rsid w:val="67C065A4"/>
    <w:rsid w:val="67D359C9"/>
    <w:rsid w:val="68042537"/>
    <w:rsid w:val="687A681D"/>
    <w:rsid w:val="68C46CA4"/>
    <w:rsid w:val="68FE36DD"/>
    <w:rsid w:val="694E60FC"/>
    <w:rsid w:val="6A256904"/>
    <w:rsid w:val="6B656832"/>
    <w:rsid w:val="6C675CE6"/>
    <w:rsid w:val="6D4F4321"/>
    <w:rsid w:val="6DF41B82"/>
    <w:rsid w:val="6DFF7360"/>
    <w:rsid w:val="6E7A5F73"/>
    <w:rsid w:val="6EE90F9D"/>
    <w:rsid w:val="6FD703B4"/>
    <w:rsid w:val="6FD74228"/>
    <w:rsid w:val="7021106F"/>
    <w:rsid w:val="70D50A94"/>
    <w:rsid w:val="715C2F64"/>
    <w:rsid w:val="71633091"/>
    <w:rsid w:val="726B627F"/>
    <w:rsid w:val="73081CA5"/>
    <w:rsid w:val="739F58FB"/>
    <w:rsid w:val="74201F7D"/>
    <w:rsid w:val="7487762D"/>
    <w:rsid w:val="74C33AA4"/>
    <w:rsid w:val="75210D7A"/>
    <w:rsid w:val="75385498"/>
    <w:rsid w:val="75A30A62"/>
    <w:rsid w:val="75F37776"/>
    <w:rsid w:val="76BC207F"/>
    <w:rsid w:val="76EB4904"/>
    <w:rsid w:val="77645DCD"/>
    <w:rsid w:val="777378F5"/>
    <w:rsid w:val="777A2D3C"/>
    <w:rsid w:val="79074B81"/>
    <w:rsid w:val="794F0939"/>
    <w:rsid w:val="79AF0FCA"/>
    <w:rsid w:val="79C42366"/>
    <w:rsid w:val="7A2517BB"/>
    <w:rsid w:val="7A3929EF"/>
    <w:rsid w:val="7AF9279C"/>
    <w:rsid w:val="7CC51958"/>
    <w:rsid w:val="7CD53DF9"/>
    <w:rsid w:val="7D097C86"/>
    <w:rsid w:val="7E2936C3"/>
    <w:rsid w:val="7E6411B9"/>
    <w:rsid w:val="7F5B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0"/>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5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7"/>
    <w:qFormat/>
    <w:uiPriority w:val="99"/>
    <w:rPr>
      <w:rFonts w:ascii="宋体" w:hAnsi="Courier New" w:eastAsiaTheme="minorEastAsia" w:cstheme="minorBidi"/>
      <w:szCs w:val="22"/>
    </w:rPr>
  </w:style>
  <w:style w:type="paragraph" w:styleId="12">
    <w:name w:val="Date"/>
    <w:basedOn w:val="1"/>
    <w:link w:val="44"/>
    <w:qFormat/>
    <w:uiPriority w:val="0"/>
    <w:rPr>
      <w:rFonts w:ascii="Arial" w:hAnsi="Arial" w:eastAsia="宋体" w:cs="Arial"/>
      <w:b/>
      <w:sz w:val="28"/>
    </w:rPr>
  </w:style>
  <w:style w:type="paragraph" w:styleId="13">
    <w:name w:val="Balloon Text"/>
    <w:basedOn w:val="1"/>
    <w:link w:val="31"/>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qFormat/>
    <w:uiPriority w:val="0"/>
    <w:pPr>
      <w:jc w:val="center"/>
    </w:pPr>
    <w:rPr>
      <w:rFonts w:ascii="Arial" w:hAnsi="Arial" w:eastAsia="Arial" w:cs="Arial"/>
      <w:b/>
      <w:bCs/>
      <w:sz w:val="28"/>
    </w:rPr>
  </w:style>
  <w:style w:type="paragraph" w:styleId="21">
    <w:name w:val="annotation subject"/>
    <w:basedOn w:val="7"/>
    <w:link w:val="5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qFormat/>
    <w:uiPriority w:val="0"/>
    <w:pPr>
      <w:ind w:left="420" w:firstLine="420" w:firstLineChars="200"/>
    </w:pPr>
    <w:rPr>
      <w:rFonts w:ascii="Times New Roman" w:hAnsi="Times New Roman" w:eastAsia="宋体" w:cs="Times New Roman"/>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paragraph" w:customStyle="1" w:styleId="30">
    <w:name w:val="首行缩进"/>
    <w:basedOn w:val="1"/>
    <w:qFormat/>
    <w:uiPriority w:val="0"/>
    <w:pPr>
      <w:ind w:firstLine="480" w:firstLineChars="200"/>
    </w:pPr>
    <w:rPr>
      <w:lang w:val="zh-CN"/>
    </w:rPr>
  </w:style>
  <w:style w:type="character" w:customStyle="1" w:styleId="31">
    <w:name w:val="批注框文本 Char"/>
    <w:basedOn w:val="26"/>
    <w:link w:val="13"/>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6"/>
    <w:qFormat/>
    <w:uiPriority w:val="0"/>
    <w:pPr>
      <w:pBdr>
        <w:bottom w:val="thinThickSmallGap" w:color="auto" w:sz="18" w:space="1"/>
      </w:pBdr>
      <w:adjustRightInd w:val="0"/>
      <w:snapToGrid/>
      <w:spacing w:line="240" w:lineRule="atLeast"/>
    </w:pPr>
    <w:rPr>
      <w:kern w:val="0"/>
      <w:sz w:val="24"/>
      <w:szCs w:val="20"/>
    </w:rPr>
  </w:style>
  <w:style w:type="character" w:customStyle="1" w:styleId="35">
    <w:name w:val="页眉 Char"/>
    <w:basedOn w:val="26"/>
    <w:link w:val="16"/>
    <w:qFormat/>
    <w:uiPriority w:val="99"/>
    <w:rPr>
      <w:rFonts w:ascii="@仿宋_GB2312" w:hAnsi="@仿宋_GB2312" w:eastAsia="@仿宋_GB2312" w:cs="@仿宋_GB2312"/>
      <w:sz w:val="18"/>
      <w:szCs w:val="18"/>
    </w:rPr>
  </w:style>
  <w:style w:type="character" w:customStyle="1" w:styleId="36">
    <w:name w:val="页脚 Char"/>
    <w:basedOn w:val="26"/>
    <w:link w:val="14"/>
    <w:qFormat/>
    <w:uiPriority w:val="99"/>
    <w:rPr>
      <w:rFonts w:ascii="@仿宋_GB2312" w:hAnsi="@仿宋_GB2312" w:eastAsia="@仿宋_GB2312" w:cs="@仿宋_GB2312"/>
      <w:sz w:val="18"/>
      <w:szCs w:val="18"/>
    </w:rPr>
  </w:style>
  <w:style w:type="character" w:customStyle="1" w:styleId="37">
    <w:name w:val="纯文本 Char"/>
    <w:link w:val="11"/>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Char"/>
    <w:link w:val="12"/>
    <w:qFormat/>
    <w:uiPriority w:val="0"/>
    <w:rPr>
      <w:rFonts w:ascii="Arial" w:hAnsi="Arial" w:eastAsia="宋体" w:cs="Arial"/>
      <w:b/>
      <w:sz w:val="28"/>
      <w:szCs w:val="20"/>
    </w:rPr>
  </w:style>
  <w:style w:type="character" w:customStyle="1" w:styleId="45">
    <w:name w:val="纯文本 Char1"/>
    <w:qFormat/>
    <w:uiPriority w:val="99"/>
    <w:rPr>
      <w:rFonts w:ascii="Arial" w:hAnsi="Arial" w:eastAsia="Arial"/>
      <w:kern w:val="2"/>
      <w:sz w:val="21"/>
      <w:lang w:val="en-US" w:eastAsia="zh-CN" w:bidi="ar-SA"/>
    </w:rPr>
  </w:style>
  <w:style w:type="character" w:customStyle="1" w:styleId="46">
    <w:name w:val="批注文字 Char"/>
    <w:basedOn w:val="26"/>
    <w:semiHidden/>
    <w:qFormat/>
    <w:uiPriority w:val="99"/>
    <w:rPr>
      <w:rFonts w:ascii="@仿宋_GB2312" w:hAnsi="@仿宋_GB2312" w:eastAsia="@仿宋_GB2312" w:cs="@仿宋_GB2312"/>
      <w:szCs w:val="20"/>
    </w:rPr>
  </w:style>
  <w:style w:type="character" w:customStyle="1" w:styleId="47">
    <w:name w:val="批注文字 Char1"/>
    <w:link w:val="7"/>
    <w:qFormat/>
    <w:uiPriority w:val="0"/>
    <w:rPr>
      <w:rFonts w:ascii="Arial" w:hAnsi="Arial" w:eastAsia="黑体" w:cs="Arial"/>
      <w:szCs w:val="20"/>
    </w:rPr>
  </w:style>
  <w:style w:type="character" w:customStyle="1" w:styleId="48">
    <w:name w:val="标题 1 Char"/>
    <w:basedOn w:val="26"/>
    <w:link w:val="2"/>
    <w:qFormat/>
    <w:uiPriority w:val="9"/>
    <w:rPr>
      <w:rFonts w:ascii="@仿宋_GB2312" w:hAnsi="@仿宋_GB2312" w:eastAsia="@仿宋_GB2312" w:cs="@仿宋_GB2312"/>
      <w:b/>
      <w:bCs/>
      <w:kern w:val="44"/>
      <w:sz w:val="44"/>
      <w:szCs w:val="44"/>
    </w:rPr>
  </w:style>
  <w:style w:type="paragraph" w:customStyle="1" w:styleId="49">
    <w:name w:val="TOC 标题1"/>
    <w:basedOn w:val="2"/>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4"/>
    <w:semiHidden/>
    <w:qFormat/>
    <w:uiPriority w:val="9"/>
    <w:rPr>
      <w:rFonts w:ascii="@仿宋_GB2312" w:hAnsi="@仿宋_GB2312" w:eastAsia="@仿宋_GB2312" w:cs="@仿宋_GB2312"/>
      <w:b/>
      <w:bCs/>
      <w:sz w:val="32"/>
      <w:szCs w:val="32"/>
    </w:rPr>
  </w:style>
  <w:style w:type="character" w:customStyle="1" w:styleId="51">
    <w:name w:val="fontstyle01"/>
    <w:basedOn w:val="26"/>
    <w:qFormat/>
    <w:uiPriority w:val="0"/>
    <w:rPr>
      <w:rFonts w:hint="eastAsia" w:ascii="宋体" w:hAnsi="宋体" w:eastAsia="宋体"/>
      <w:color w:val="000000"/>
      <w:sz w:val="22"/>
      <w:szCs w:val="22"/>
    </w:rPr>
  </w:style>
  <w:style w:type="character" w:customStyle="1" w:styleId="52">
    <w:name w:val="fontstyle21"/>
    <w:basedOn w:val="26"/>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semiHidden/>
    <w:qFormat/>
    <w:uiPriority w:val="9"/>
    <w:rPr>
      <w:rFonts w:asciiTheme="majorHAnsi" w:hAnsiTheme="majorHAnsi" w:eastAsiaTheme="majorEastAsia" w:cstheme="majorBidi"/>
      <w:b/>
      <w:bCs/>
      <w:sz w:val="28"/>
      <w:szCs w:val="28"/>
    </w:rPr>
  </w:style>
  <w:style w:type="character" w:customStyle="1" w:styleId="55">
    <w:name w:val="标题 4 Char1"/>
    <w:link w:val="5"/>
    <w:qFormat/>
    <w:uiPriority w:val="0"/>
    <w:rPr>
      <w:rFonts w:ascii="@仿宋_GB2312" w:hAnsi="@仿宋_GB2312" w:eastAsia="@仿宋_GB2312" w:cs="@仿宋_GB2312"/>
      <w:b/>
      <w:bCs/>
      <w:sz w:val="28"/>
      <w:szCs w:val="28"/>
    </w:rPr>
  </w:style>
  <w:style w:type="character" w:customStyle="1" w:styleId="56">
    <w:name w:val="标题 4 Char"/>
    <w:qFormat/>
    <w:uiPriority w:val="0"/>
    <w:rPr>
      <w:rFonts w:ascii="Arial" w:hAnsi="Arial" w:eastAsia="Arial"/>
      <w:b/>
      <w:bCs/>
      <w:kern w:val="2"/>
      <w:sz w:val="28"/>
      <w:szCs w:val="28"/>
      <w:lang w:val="en-US" w:eastAsia="zh-CN" w:bidi="ar-SA"/>
    </w:rPr>
  </w:style>
  <w:style w:type="table" w:customStyle="1" w:styleId="5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semiHidden/>
    <w:qFormat/>
    <w:uiPriority w:val="99"/>
    <w:rPr>
      <w:rFonts w:ascii="@仿宋_GB2312" w:hAnsi="@仿宋_GB2312" w:eastAsia="@仿宋_GB2312" w:cs="@仿宋_GB2312"/>
      <w:b/>
      <w:bCs/>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段落文字"/>
    <w:basedOn w:val="1"/>
    <w:qFormat/>
    <w:uiPriority w:val="0"/>
    <w:pPr>
      <w:spacing w:line="360" w:lineRule="auto"/>
      <w:ind w:firstLine="420" w:firstLineChars="200"/>
    </w:pPr>
    <w:rPr>
      <w:rFonts w:cs="宋体"/>
    </w:rPr>
  </w:style>
  <w:style w:type="paragraph" w:customStyle="1" w:styleId="64">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1190</Words>
  <Characters>1278</Characters>
  <Lines>1</Lines>
  <Paragraphs>1</Paragraphs>
  <TotalTime>11</TotalTime>
  <ScaleCrop>false</ScaleCrop>
  <LinksUpToDate>false</LinksUpToDate>
  <CharactersWithSpaces>1346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揚帆启航</cp:lastModifiedBy>
  <dcterms:modified xsi:type="dcterms:W3CDTF">2025-07-30T07:49:09Z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E1C37281B7624A91BEECD223F0BFDAC6_13</vt:lpwstr>
  </property>
  <property fmtid="{D5CDD505-2E9C-101B-9397-08002B2CF9AE}" pid="4" name="KSOTemplateDocerSaveRecord">
    <vt:lpwstr>eyJoZGlkIjoiYmExNjA4YzE1YTVhOTk1YTlmMDdiZGMyM2JmOGYxZWIiLCJ1c2VySWQiOiIyNzYwMjQyNjMifQ==</vt:lpwstr>
  </property>
</Properties>
</file>