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46783">
      <w:pPr>
        <w:spacing w:line="600" w:lineRule="auto"/>
        <w:jc w:val="center"/>
        <w:rPr>
          <w:rFonts w:ascii="宋体" w:hAnsi="宋体"/>
          <w:b/>
          <w:color w:val="auto"/>
          <w:sz w:val="44"/>
          <w:szCs w:val="44"/>
        </w:rPr>
      </w:pPr>
      <w:bookmarkStart w:id="0" w:name="OLE_LINK1"/>
    </w:p>
    <w:p w14:paraId="08495468">
      <w:pPr>
        <w:spacing w:line="312" w:lineRule="auto"/>
        <w:jc w:val="center"/>
        <w:rPr>
          <w:rFonts w:ascii="宋体" w:hAnsi="宋体" w:cs="宋体"/>
          <w:b/>
          <w:color w:val="auto"/>
          <w:sz w:val="36"/>
          <w:szCs w:val="36"/>
        </w:rPr>
      </w:pPr>
      <w:r>
        <w:rPr>
          <w:rFonts w:hint="eastAsia" w:ascii="宋体" w:hAnsi="宋体" w:cs="宋体"/>
          <w:b/>
          <w:color w:val="auto"/>
          <w:sz w:val="36"/>
          <w:szCs w:val="36"/>
        </w:rPr>
        <w:t>滁州市机电工程学校中心机房维保项目</w:t>
      </w:r>
    </w:p>
    <w:p w14:paraId="05A17AEF">
      <w:pPr>
        <w:pStyle w:val="38"/>
        <w:ind w:firstLine="442"/>
        <w:rPr>
          <w:rFonts w:ascii="新宋体" w:hAnsi="新宋体" w:eastAsia="新宋体"/>
          <w:b/>
          <w:color w:val="auto"/>
          <w:sz w:val="44"/>
          <w:szCs w:val="44"/>
        </w:rPr>
      </w:pPr>
    </w:p>
    <w:p w14:paraId="52749408">
      <w:pPr>
        <w:rPr>
          <w:color w:val="auto"/>
        </w:rPr>
      </w:pPr>
    </w:p>
    <w:p w14:paraId="3B42795C">
      <w:pPr>
        <w:pStyle w:val="39"/>
        <w:ind w:left="0" w:leftChars="0" w:firstLine="2400" w:firstLineChars="1000"/>
        <w:rPr>
          <w:color w:val="auto"/>
          <w:sz w:val="24"/>
        </w:rPr>
      </w:pPr>
    </w:p>
    <w:p w14:paraId="4B56A2A0">
      <w:pPr>
        <w:jc w:val="center"/>
        <w:rPr>
          <w:color w:val="auto"/>
          <w:sz w:val="24"/>
        </w:rPr>
      </w:pPr>
      <w:r>
        <w:rPr>
          <w:rFonts w:hint="eastAsia"/>
          <w:color w:val="auto"/>
          <w:sz w:val="24"/>
        </w:rPr>
        <w:t xml:space="preserve"> </w:t>
      </w:r>
    </w:p>
    <w:p w14:paraId="52BDC3C7">
      <w:pPr>
        <w:pStyle w:val="39"/>
        <w:ind w:firstLine="420"/>
        <w:rPr>
          <w:color w:val="auto"/>
        </w:rPr>
      </w:pPr>
    </w:p>
    <w:p w14:paraId="7D48EC79">
      <w:pPr>
        <w:spacing w:line="312" w:lineRule="auto"/>
        <w:jc w:val="center"/>
        <w:rPr>
          <w:rFonts w:ascii="宋体" w:hAnsi="宋体"/>
          <w:b/>
          <w:color w:val="auto"/>
          <w:sz w:val="52"/>
          <w:szCs w:val="52"/>
        </w:rPr>
      </w:pPr>
      <w:r>
        <w:rPr>
          <w:rFonts w:hint="eastAsia" w:ascii="宋体" w:hAnsi="宋体"/>
          <w:b/>
          <w:color w:val="auto"/>
          <w:sz w:val="52"/>
          <w:szCs w:val="52"/>
        </w:rPr>
        <w:t>招 标 文 件</w:t>
      </w:r>
    </w:p>
    <w:p w14:paraId="0458F8D1">
      <w:pPr>
        <w:pStyle w:val="39"/>
        <w:ind w:firstLine="3092" w:firstLineChars="1100"/>
        <w:rPr>
          <w:color w:val="auto"/>
          <w:sz w:val="28"/>
          <w:szCs w:val="28"/>
        </w:rPr>
      </w:pPr>
      <w:r>
        <w:rPr>
          <w:rFonts w:hint="eastAsia" w:hAnsi="宋体"/>
          <w:b/>
          <w:color w:val="auto"/>
          <w:sz w:val="28"/>
          <w:szCs w:val="28"/>
        </w:rPr>
        <w:t>（校内公开招标）</w:t>
      </w:r>
    </w:p>
    <w:p w14:paraId="06BA8B9A">
      <w:pPr>
        <w:jc w:val="center"/>
        <w:rPr>
          <w:color w:val="auto"/>
          <w:sz w:val="28"/>
          <w:szCs w:val="28"/>
        </w:rPr>
      </w:pPr>
    </w:p>
    <w:p w14:paraId="60C46720">
      <w:pPr>
        <w:pStyle w:val="39"/>
        <w:ind w:firstLine="420"/>
        <w:rPr>
          <w:color w:val="auto"/>
        </w:rPr>
      </w:pPr>
    </w:p>
    <w:p w14:paraId="5A0E5BE0">
      <w:pPr>
        <w:rPr>
          <w:color w:val="auto"/>
        </w:rPr>
      </w:pPr>
    </w:p>
    <w:p w14:paraId="1A6CDC61">
      <w:pPr>
        <w:spacing w:beforeLines="100" w:afterLines="100" w:line="360" w:lineRule="auto"/>
        <w:jc w:val="left"/>
        <w:rPr>
          <w:rFonts w:ascii="宋体"/>
          <w:b/>
          <w:color w:val="auto"/>
          <w:sz w:val="32"/>
          <w:szCs w:val="32"/>
        </w:rPr>
      </w:pPr>
    </w:p>
    <w:p w14:paraId="316C8C4C">
      <w:pPr>
        <w:rPr>
          <w:rFonts w:ascii="宋体"/>
          <w:b/>
          <w:color w:val="auto"/>
          <w:sz w:val="32"/>
          <w:szCs w:val="32"/>
        </w:rPr>
      </w:pPr>
    </w:p>
    <w:p w14:paraId="757343F2">
      <w:pPr>
        <w:pStyle w:val="39"/>
        <w:ind w:firstLine="643"/>
        <w:rPr>
          <w:b/>
          <w:color w:val="auto"/>
          <w:sz w:val="32"/>
          <w:szCs w:val="32"/>
        </w:rPr>
      </w:pPr>
    </w:p>
    <w:p w14:paraId="7C8C3248">
      <w:pPr>
        <w:rPr>
          <w:color w:val="auto"/>
        </w:rPr>
      </w:pPr>
    </w:p>
    <w:p w14:paraId="7CE689E5">
      <w:pPr>
        <w:spacing w:beforeLines="100" w:afterLines="100" w:line="360" w:lineRule="auto"/>
        <w:ind w:firstLine="602" w:firstLineChars="200"/>
        <w:rPr>
          <w:rFonts w:ascii="宋体"/>
          <w:b/>
          <w:color w:val="auto"/>
          <w:sz w:val="30"/>
          <w:szCs w:val="30"/>
        </w:rPr>
      </w:pPr>
      <w:r>
        <w:rPr>
          <w:rFonts w:hint="eastAsia" w:ascii="宋体"/>
          <w:b/>
          <w:color w:val="auto"/>
          <w:sz w:val="30"/>
          <w:szCs w:val="30"/>
        </w:rPr>
        <w:t>采   购   人：</w:t>
      </w:r>
      <w:r>
        <w:rPr>
          <w:rFonts w:hint="eastAsia" w:ascii="宋体"/>
          <w:b/>
          <w:color w:val="auto"/>
          <w:sz w:val="30"/>
          <w:szCs w:val="30"/>
          <w:u w:val="single"/>
        </w:rPr>
        <w:t xml:space="preserve">   滁州市机电工程学校    </w:t>
      </w:r>
      <w:r>
        <w:rPr>
          <w:rFonts w:hint="eastAsia" w:ascii="宋体"/>
          <w:b/>
          <w:color w:val="auto"/>
          <w:sz w:val="30"/>
          <w:szCs w:val="30"/>
        </w:rPr>
        <w:t>（盖章）</w:t>
      </w:r>
    </w:p>
    <w:p w14:paraId="357D935A">
      <w:pPr>
        <w:spacing w:line="360" w:lineRule="auto"/>
        <w:ind w:firstLine="602" w:firstLineChars="200"/>
        <w:rPr>
          <w:rFonts w:ascii="宋体"/>
          <w:b/>
          <w:color w:val="auto"/>
          <w:sz w:val="30"/>
          <w:szCs w:val="30"/>
          <w:u w:val="single"/>
        </w:rPr>
      </w:pPr>
      <w:r>
        <w:rPr>
          <w:rFonts w:hint="eastAsia" w:ascii="宋体"/>
          <w:b/>
          <w:color w:val="auto"/>
          <w:sz w:val="30"/>
          <w:szCs w:val="30"/>
        </w:rPr>
        <w:t>采购代理机构：</w:t>
      </w:r>
      <w:r>
        <w:rPr>
          <w:rFonts w:hint="eastAsia" w:ascii="宋体"/>
          <w:b/>
          <w:color w:val="auto"/>
          <w:sz w:val="30"/>
          <w:szCs w:val="30"/>
          <w:u w:val="single"/>
        </w:rPr>
        <w:t xml:space="preserve"> 安徽人和项目管理有限公司</w:t>
      </w:r>
      <w:r>
        <w:rPr>
          <w:rFonts w:hint="eastAsia" w:ascii="宋体"/>
          <w:b/>
          <w:color w:val="auto"/>
          <w:sz w:val="30"/>
          <w:szCs w:val="30"/>
        </w:rPr>
        <w:t>（盖章）</w:t>
      </w:r>
    </w:p>
    <w:p w14:paraId="3C15C62A">
      <w:pPr>
        <w:spacing w:beforeLines="100" w:afterLines="100" w:line="360" w:lineRule="auto"/>
        <w:jc w:val="center"/>
        <w:rPr>
          <w:rFonts w:ascii="宋体" w:hAnsi="宋体" w:cs="宋体"/>
          <w:b/>
          <w:color w:val="auto"/>
          <w:sz w:val="44"/>
          <w:szCs w:val="44"/>
        </w:rPr>
      </w:pPr>
      <w:r>
        <w:rPr>
          <w:rFonts w:hint="eastAsia" w:ascii="宋体"/>
          <w:b/>
          <w:color w:val="auto"/>
          <w:sz w:val="30"/>
          <w:szCs w:val="30"/>
          <w:u w:val="single"/>
        </w:rPr>
        <w:t xml:space="preserve"> 二〇二四 </w:t>
      </w:r>
      <w:r>
        <w:rPr>
          <w:rFonts w:hint="eastAsia" w:ascii="宋体"/>
          <w:b/>
          <w:color w:val="auto"/>
          <w:sz w:val="30"/>
          <w:szCs w:val="30"/>
        </w:rPr>
        <w:t>年</w:t>
      </w:r>
      <w:r>
        <w:rPr>
          <w:rFonts w:hint="eastAsia" w:ascii="宋体"/>
          <w:b/>
          <w:color w:val="auto"/>
          <w:sz w:val="30"/>
          <w:szCs w:val="30"/>
          <w:u w:val="single"/>
        </w:rPr>
        <w:t xml:space="preserve"> </w:t>
      </w:r>
      <w:r>
        <w:rPr>
          <w:rFonts w:hint="eastAsia" w:ascii="宋体"/>
          <w:b/>
          <w:color w:val="auto"/>
          <w:sz w:val="30"/>
          <w:szCs w:val="30"/>
          <w:u w:val="single"/>
          <w:lang w:val="en-US" w:eastAsia="zh-CN"/>
        </w:rPr>
        <w:t>九</w:t>
      </w:r>
      <w:r>
        <w:rPr>
          <w:rFonts w:hint="eastAsia" w:ascii="宋体"/>
          <w:b/>
          <w:color w:val="auto"/>
          <w:sz w:val="30"/>
          <w:szCs w:val="30"/>
          <w:u w:val="single"/>
        </w:rPr>
        <w:t xml:space="preserve"> </w:t>
      </w:r>
      <w:r>
        <w:rPr>
          <w:rFonts w:hint="eastAsia" w:ascii="宋体"/>
          <w:b/>
          <w:color w:val="auto"/>
          <w:sz w:val="30"/>
          <w:szCs w:val="30"/>
        </w:rPr>
        <w:t>月</w:t>
      </w:r>
      <w:r>
        <w:rPr>
          <w:rFonts w:hint="eastAsia" w:ascii="宋体" w:hAnsi="宋体" w:cs="宋体"/>
          <w:b/>
          <w:color w:val="auto"/>
          <w:szCs w:val="21"/>
        </w:rPr>
        <w:br w:type="page"/>
      </w:r>
      <w:r>
        <w:rPr>
          <w:rFonts w:hint="eastAsia" w:ascii="宋体" w:hAnsi="宋体" w:cs="宋体"/>
          <w:b/>
          <w:color w:val="auto"/>
          <w:sz w:val="44"/>
          <w:szCs w:val="44"/>
        </w:rPr>
        <w:t>目  录</w:t>
      </w:r>
    </w:p>
    <w:p w14:paraId="686BC958">
      <w:pPr>
        <w:pStyle w:val="29"/>
        <w:tabs>
          <w:tab w:val="right" w:leader="dot" w:pos="9638"/>
        </w:tabs>
        <w:spacing w:line="700" w:lineRule="exact"/>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TOC \o "1-3" \h \z \u </w:instrText>
      </w:r>
      <w:r>
        <w:rPr>
          <w:rFonts w:hint="eastAsia" w:ascii="宋体" w:hAnsi="宋体" w:cs="宋体"/>
          <w:szCs w:val="21"/>
        </w:rPr>
        <w:fldChar w:fldCharType="separate"/>
      </w:r>
      <w:r>
        <w:fldChar w:fldCharType="begin"/>
      </w:r>
      <w:r>
        <w:instrText xml:space="preserve"> HYPERLINK \l "_Toc15532" </w:instrText>
      </w:r>
      <w:r>
        <w:fldChar w:fldCharType="separate"/>
      </w:r>
      <w:r>
        <w:rPr>
          <w:rFonts w:hint="eastAsia" w:ascii="宋体" w:hAnsi="宋体" w:cs="宋体"/>
          <w:kern w:val="44"/>
          <w:szCs w:val="21"/>
        </w:rPr>
        <w:t>第一章 招标公告</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_Toc15532 \h </w:instrText>
      </w:r>
      <w:r>
        <w:rPr>
          <w:rFonts w:hint="eastAsia" w:ascii="宋体" w:hAnsi="宋体" w:cs="宋体"/>
          <w:szCs w:val="21"/>
        </w:rPr>
        <w:fldChar w:fldCharType="separate"/>
      </w:r>
      <w:r>
        <w:rPr>
          <w:rFonts w:hint="eastAsia" w:ascii="宋体" w:hAnsi="宋体" w:cs="宋体"/>
          <w:szCs w:val="21"/>
        </w:rPr>
        <w:t>3</w:t>
      </w:r>
      <w:r>
        <w:rPr>
          <w:rFonts w:hint="eastAsia" w:ascii="宋体" w:hAnsi="宋体" w:cs="宋体"/>
          <w:szCs w:val="21"/>
        </w:rPr>
        <w:fldChar w:fldCharType="end"/>
      </w:r>
      <w:r>
        <w:rPr>
          <w:rFonts w:hint="eastAsia" w:ascii="宋体" w:hAnsi="宋体" w:cs="宋体"/>
          <w:szCs w:val="21"/>
        </w:rPr>
        <w:fldChar w:fldCharType="end"/>
      </w:r>
    </w:p>
    <w:p w14:paraId="410450ED">
      <w:pPr>
        <w:pStyle w:val="29"/>
        <w:tabs>
          <w:tab w:val="right" w:leader="dot" w:pos="9638"/>
        </w:tabs>
        <w:spacing w:line="700" w:lineRule="exact"/>
        <w:rPr>
          <w:rFonts w:ascii="宋体" w:hAnsi="宋体" w:cs="宋体"/>
          <w:szCs w:val="21"/>
        </w:rPr>
      </w:pPr>
      <w:r>
        <w:fldChar w:fldCharType="begin"/>
      </w:r>
      <w:r>
        <w:instrText xml:space="preserve"> HYPERLINK \l "_Toc11826" </w:instrText>
      </w:r>
      <w:r>
        <w:fldChar w:fldCharType="separate"/>
      </w:r>
      <w:r>
        <w:rPr>
          <w:rFonts w:hint="eastAsia" w:ascii="宋体" w:hAnsi="宋体" w:cs="宋体"/>
          <w:szCs w:val="21"/>
        </w:rPr>
        <w:t>第二章 投标人须知</w:t>
      </w:r>
      <w:r>
        <w:rPr>
          <w:rFonts w:hint="eastAsia" w:ascii="宋体" w:hAnsi="宋体" w:cs="宋体"/>
          <w:szCs w:val="21"/>
        </w:rPr>
        <w:tab/>
      </w:r>
      <w:r>
        <w:rPr>
          <w:rFonts w:hint="eastAsia" w:ascii="宋体" w:hAnsi="宋体" w:cs="宋体"/>
          <w:szCs w:val="21"/>
        </w:rPr>
        <w:t>8</w:t>
      </w:r>
      <w:r>
        <w:rPr>
          <w:rFonts w:hint="eastAsia" w:ascii="宋体" w:hAnsi="宋体" w:cs="宋体"/>
          <w:szCs w:val="21"/>
        </w:rPr>
        <w:fldChar w:fldCharType="end"/>
      </w:r>
    </w:p>
    <w:p w14:paraId="131E4908">
      <w:pPr>
        <w:pStyle w:val="29"/>
        <w:tabs>
          <w:tab w:val="right" w:leader="dot" w:pos="9638"/>
        </w:tabs>
        <w:spacing w:line="700" w:lineRule="exact"/>
        <w:rPr>
          <w:rFonts w:ascii="宋体" w:hAnsi="宋体" w:cs="宋体"/>
          <w:szCs w:val="21"/>
        </w:rPr>
      </w:pPr>
      <w:r>
        <w:fldChar w:fldCharType="begin"/>
      </w:r>
      <w:r>
        <w:instrText xml:space="preserve"> HYPERLINK \l "_Toc15796" </w:instrText>
      </w:r>
      <w:r>
        <w:fldChar w:fldCharType="separate"/>
      </w:r>
      <w:r>
        <w:rPr>
          <w:rFonts w:hint="eastAsia" w:ascii="宋体" w:hAnsi="宋体" w:cs="宋体"/>
          <w:szCs w:val="21"/>
        </w:rPr>
        <w:t>第三章 评标办法（综合评分）</w:t>
      </w:r>
      <w:r>
        <w:rPr>
          <w:rFonts w:hint="eastAsia" w:ascii="宋体" w:hAnsi="宋体" w:cs="宋体"/>
          <w:szCs w:val="21"/>
        </w:rPr>
        <w:tab/>
      </w:r>
      <w:r>
        <w:rPr>
          <w:rFonts w:hint="eastAsia" w:ascii="宋体" w:hAnsi="宋体" w:cs="宋体"/>
          <w:szCs w:val="21"/>
        </w:rPr>
        <w:t>2</w:t>
      </w:r>
      <w:r>
        <w:rPr>
          <w:rFonts w:hint="eastAsia" w:ascii="宋体" w:hAnsi="宋体" w:cs="宋体"/>
          <w:szCs w:val="21"/>
        </w:rPr>
        <w:fldChar w:fldCharType="end"/>
      </w:r>
      <w:r>
        <w:rPr>
          <w:rFonts w:hint="eastAsia" w:ascii="宋体" w:hAnsi="宋体" w:cs="宋体"/>
          <w:szCs w:val="21"/>
        </w:rPr>
        <w:t>0</w:t>
      </w:r>
    </w:p>
    <w:p w14:paraId="052237C4">
      <w:pPr>
        <w:pStyle w:val="29"/>
        <w:tabs>
          <w:tab w:val="right" w:leader="dot" w:pos="9638"/>
        </w:tabs>
        <w:spacing w:line="700" w:lineRule="exact"/>
        <w:rPr>
          <w:rFonts w:ascii="宋体" w:hAnsi="宋体" w:cs="宋体"/>
          <w:szCs w:val="21"/>
        </w:rPr>
      </w:pPr>
      <w:r>
        <w:fldChar w:fldCharType="begin"/>
      </w:r>
      <w:r>
        <w:instrText xml:space="preserve"> HYPERLINK \l "_Toc3791" </w:instrText>
      </w:r>
      <w:r>
        <w:fldChar w:fldCharType="separate"/>
      </w:r>
      <w:r>
        <w:rPr>
          <w:rFonts w:hint="eastAsia" w:ascii="宋体" w:hAnsi="宋体" w:cs="宋体"/>
          <w:szCs w:val="21"/>
        </w:rPr>
        <w:t>第四章 采购需求及技术参数要求</w:t>
      </w:r>
      <w:r>
        <w:rPr>
          <w:rFonts w:hint="eastAsia" w:ascii="宋体" w:hAnsi="宋体" w:cs="宋体"/>
          <w:szCs w:val="21"/>
        </w:rPr>
        <w:tab/>
      </w:r>
      <w:r>
        <w:rPr>
          <w:rFonts w:hint="eastAsia" w:ascii="宋体" w:hAnsi="宋体" w:cs="宋体"/>
          <w:szCs w:val="21"/>
        </w:rPr>
        <w:t>27</w:t>
      </w:r>
      <w:r>
        <w:rPr>
          <w:rFonts w:hint="eastAsia" w:ascii="宋体" w:hAnsi="宋体" w:cs="宋体"/>
          <w:szCs w:val="21"/>
        </w:rPr>
        <w:fldChar w:fldCharType="end"/>
      </w:r>
    </w:p>
    <w:p w14:paraId="12A2815D">
      <w:pPr>
        <w:pStyle w:val="29"/>
        <w:tabs>
          <w:tab w:val="right" w:leader="dot" w:pos="9638"/>
        </w:tabs>
        <w:spacing w:line="700" w:lineRule="exact"/>
        <w:rPr>
          <w:rFonts w:ascii="宋体" w:hAnsi="宋体" w:cs="宋体"/>
          <w:szCs w:val="21"/>
        </w:rPr>
      </w:pPr>
      <w:r>
        <w:fldChar w:fldCharType="begin"/>
      </w:r>
      <w:r>
        <w:instrText xml:space="preserve"> HYPERLINK \l "_Toc5395" </w:instrText>
      </w:r>
      <w:r>
        <w:fldChar w:fldCharType="separate"/>
      </w:r>
      <w:r>
        <w:rPr>
          <w:rFonts w:hint="eastAsia" w:ascii="宋体" w:hAnsi="宋体" w:cs="宋体"/>
          <w:szCs w:val="21"/>
        </w:rPr>
        <w:t>第五章 合同条款及格式</w:t>
      </w:r>
      <w:r>
        <w:rPr>
          <w:rFonts w:hint="eastAsia" w:ascii="宋体" w:hAnsi="宋体" w:cs="宋体"/>
          <w:szCs w:val="21"/>
        </w:rPr>
        <w:tab/>
      </w:r>
      <w:r>
        <w:rPr>
          <w:rFonts w:hint="eastAsia" w:ascii="宋体" w:hAnsi="宋体" w:cs="宋体"/>
          <w:szCs w:val="21"/>
        </w:rPr>
        <w:t>2</w:t>
      </w:r>
      <w:r>
        <w:rPr>
          <w:rFonts w:hint="eastAsia" w:ascii="宋体" w:hAnsi="宋体" w:cs="宋体"/>
          <w:szCs w:val="21"/>
        </w:rPr>
        <w:fldChar w:fldCharType="end"/>
      </w:r>
      <w:r>
        <w:rPr>
          <w:rFonts w:hint="eastAsia" w:ascii="宋体" w:hAnsi="宋体" w:cs="宋体"/>
          <w:szCs w:val="21"/>
        </w:rPr>
        <w:t>9</w:t>
      </w:r>
    </w:p>
    <w:p w14:paraId="1B187802">
      <w:pPr>
        <w:pStyle w:val="29"/>
        <w:tabs>
          <w:tab w:val="right" w:leader="dot" w:pos="9638"/>
        </w:tabs>
        <w:spacing w:line="700" w:lineRule="exact"/>
        <w:rPr>
          <w:rFonts w:ascii="宋体" w:hAnsi="宋体" w:cs="宋体"/>
          <w:szCs w:val="21"/>
        </w:rPr>
      </w:pPr>
      <w:r>
        <w:fldChar w:fldCharType="begin"/>
      </w:r>
      <w:r>
        <w:instrText xml:space="preserve"> HYPERLINK \l "_Toc8920" </w:instrText>
      </w:r>
      <w:r>
        <w:fldChar w:fldCharType="separate"/>
      </w:r>
      <w:r>
        <w:rPr>
          <w:rFonts w:hint="eastAsia" w:ascii="宋体" w:hAnsi="宋体" w:cs="宋体"/>
          <w:szCs w:val="21"/>
        </w:rPr>
        <w:t>第六章 投标文件格式</w:t>
      </w:r>
      <w:r>
        <w:rPr>
          <w:rFonts w:hint="eastAsia" w:ascii="宋体" w:hAnsi="宋体" w:cs="宋体"/>
          <w:szCs w:val="21"/>
        </w:rPr>
        <w:tab/>
      </w:r>
      <w:r>
        <w:rPr>
          <w:rFonts w:hint="eastAsia" w:ascii="宋体" w:hAnsi="宋体" w:cs="宋体"/>
          <w:szCs w:val="21"/>
        </w:rPr>
        <w:fldChar w:fldCharType="end"/>
      </w:r>
      <w:r>
        <w:rPr>
          <w:rFonts w:hint="eastAsia" w:ascii="宋体" w:hAnsi="宋体" w:cs="宋体"/>
          <w:szCs w:val="21"/>
        </w:rPr>
        <w:t>39</w:t>
      </w:r>
    </w:p>
    <w:p w14:paraId="646922BC">
      <w:pPr>
        <w:pStyle w:val="29"/>
        <w:tabs>
          <w:tab w:val="right" w:leader="dot" w:pos="9638"/>
        </w:tabs>
        <w:spacing w:line="700" w:lineRule="exact"/>
        <w:rPr>
          <w:rFonts w:ascii="宋体" w:hAnsi="宋体" w:cs="宋体"/>
          <w:szCs w:val="21"/>
        </w:rPr>
      </w:pPr>
      <w:r>
        <w:fldChar w:fldCharType="begin"/>
      </w:r>
      <w:r>
        <w:instrText xml:space="preserve"> HYPERLINK \l "_Toc3096" </w:instrText>
      </w:r>
      <w:r>
        <w:fldChar w:fldCharType="separate"/>
      </w:r>
      <w:r>
        <w:rPr>
          <w:rFonts w:hint="eastAsia" w:ascii="宋体" w:hAnsi="宋体" w:cs="宋体"/>
          <w:szCs w:val="21"/>
        </w:rPr>
        <w:t>第七章 采购人、采购代理机构对本招标文件的确认</w:t>
      </w:r>
      <w:r>
        <w:rPr>
          <w:rFonts w:hint="eastAsia" w:ascii="宋体" w:hAnsi="宋体" w:cs="宋体"/>
          <w:szCs w:val="21"/>
        </w:rPr>
        <w:tab/>
      </w:r>
      <w:r>
        <w:rPr>
          <w:rFonts w:hint="eastAsia" w:ascii="宋体" w:hAnsi="宋体" w:cs="宋体"/>
          <w:szCs w:val="21"/>
        </w:rPr>
        <w:fldChar w:fldCharType="end"/>
      </w:r>
      <w:r>
        <w:rPr>
          <w:rFonts w:hint="eastAsia" w:ascii="宋体" w:hAnsi="宋体" w:cs="宋体"/>
          <w:szCs w:val="21"/>
        </w:rPr>
        <w:t>62</w:t>
      </w:r>
    </w:p>
    <w:p w14:paraId="352E0402">
      <w:pPr>
        <w:pStyle w:val="39"/>
        <w:spacing w:after="0" w:line="700" w:lineRule="exact"/>
        <w:ind w:left="0" w:leftChars="0" w:firstLine="0" w:firstLineChars="0"/>
        <w:rPr>
          <w:rFonts w:hAnsi="宋体" w:cs="宋体"/>
          <w:color w:val="auto"/>
          <w:sz w:val="24"/>
          <w:szCs w:val="24"/>
        </w:rPr>
      </w:pPr>
      <w:r>
        <w:rPr>
          <w:rFonts w:hint="eastAsia" w:hAnsi="宋体" w:cs="宋体"/>
          <w:color w:val="auto"/>
          <w:szCs w:val="21"/>
        </w:rPr>
        <w:fldChar w:fldCharType="end"/>
      </w:r>
    </w:p>
    <w:p w14:paraId="2CDBD269">
      <w:pPr>
        <w:spacing w:line="500" w:lineRule="exact"/>
        <w:rPr>
          <w:rFonts w:ascii="宋体" w:hAnsi="宋体" w:cs="宋体"/>
          <w:color w:val="auto"/>
          <w:szCs w:val="21"/>
        </w:rPr>
      </w:pPr>
    </w:p>
    <w:p w14:paraId="4939A89E">
      <w:pPr>
        <w:ind w:firstLine="210" w:firstLineChars="100"/>
        <w:jc w:val="center"/>
        <w:rPr>
          <w:rFonts w:ascii="宋体" w:hAnsi="宋体" w:cs="宋体"/>
          <w:color w:val="auto"/>
          <w:szCs w:val="21"/>
        </w:rPr>
      </w:pPr>
    </w:p>
    <w:p w14:paraId="2C97C455">
      <w:pPr>
        <w:ind w:firstLine="210" w:firstLineChars="100"/>
        <w:jc w:val="center"/>
        <w:rPr>
          <w:rFonts w:ascii="宋体" w:hAnsi="宋体" w:cs="宋体"/>
          <w:color w:val="auto"/>
          <w:szCs w:val="21"/>
        </w:rPr>
      </w:pPr>
    </w:p>
    <w:p w14:paraId="55A59361">
      <w:pPr>
        <w:widowControl w:val="0"/>
        <w:snapToGrid w:val="0"/>
        <w:spacing w:beforeLines="100" w:line="372" w:lineRule="auto"/>
        <w:rPr>
          <w:rFonts w:ascii="宋体" w:hAnsi="宋体" w:cs="宋体"/>
          <w:b/>
          <w:bCs/>
          <w:color w:val="auto"/>
          <w:szCs w:val="21"/>
        </w:rPr>
      </w:pPr>
      <w:bookmarkStart w:id="1" w:name="OLE_LINK8"/>
      <w:bookmarkStart w:id="2" w:name="OLE_LINK3"/>
      <w:bookmarkStart w:id="3" w:name="OLE_LINK2"/>
      <w:bookmarkStart w:id="4" w:name="OLE_LINK6"/>
      <w:bookmarkStart w:id="5" w:name="OLE_LINK7"/>
      <w:bookmarkStart w:id="6" w:name="OLE_LINK5"/>
      <w:bookmarkStart w:id="7" w:name="OLE_LINK4"/>
    </w:p>
    <w:p w14:paraId="6D79B443">
      <w:pPr>
        <w:pStyle w:val="39"/>
        <w:ind w:left="0" w:leftChars="0" w:firstLine="422"/>
        <w:rPr>
          <w:rFonts w:hAnsi="宋体" w:cs="宋体"/>
          <w:b/>
          <w:bCs/>
          <w:color w:val="auto"/>
          <w:szCs w:val="21"/>
        </w:rPr>
      </w:pPr>
    </w:p>
    <w:p w14:paraId="4177B40B">
      <w:pPr>
        <w:pStyle w:val="31"/>
        <w:ind w:left="0"/>
        <w:rPr>
          <w:rFonts w:ascii="宋体" w:hAnsi="宋体" w:eastAsia="宋体" w:cs="宋体"/>
          <w:b/>
          <w:bCs/>
          <w:szCs w:val="21"/>
        </w:rPr>
      </w:pPr>
    </w:p>
    <w:p w14:paraId="4B94B58F">
      <w:pPr>
        <w:pStyle w:val="31"/>
        <w:ind w:left="0"/>
        <w:rPr>
          <w:rFonts w:ascii="宋体" w:hAnsi="宋体" w:eastAsia="宋体" w:cs="宋体"/>
          <w:b/>
          <w:bCs/>
          <w:szCs w:val="21"/>
        </w:rPr>
      </w:pPr>
    </w:p>
    <w:p w14:paraId="5F424414">
      <w:pPr>
        <w:pStyle w:val="31"/>
        <w:ind w:left="0"/>
        <w:rPr>
          <w:rFonts w:ascii="宋体" w:hAnsi="宋体" w:eastAsia="宋体" w:cs="宋体"/>
          <w:b/>
          <w:bCs/>
          <w:szCs w:val="21"/>
        </w:rPr>
      </w:pPr>
    </w:p>
    <w:p w14:paraId="4A4A28E2">
      <w:pPr>
        <w:pStyle w:val="31"/>
        <w:ind w:left="0"/>
        <w:rPr>
          <w:rFonts w:ascii="宋体" w:hAnsi="宋体" w:eastAsia="宋体" w:cs="宋体"/>
          <w:b/>
          <w:bCs/>
          <w:szCs w:val="21"/>
        </w:rPr>
      </w:pPr>
    </w:p>
    <w:p w14:paraId="2720F080">
      <w:pPr>
        <w:pStyle w:val="31"/>
        <w:ind w:left="0"/>
        <w:rPr>
          <w:rFonts w:ascii="宋体" w:hAnsi="宋体" w:eastAsia="宋体" w:cs="宋体"/>
          <w:b/>
          <w:bCs/>
          <w:szCs w:val="21"/>
        </w:rPr>
      </w:pPr>
    </w:p>
    <w:p w14:paraId="3A1125D8">
      <w:pPr>
        <w:pStyle w:val="31"/>
        <w:ind w:left="0"/>
        <w:rPr>
          <w:rFonts w:ascii="宋体" w:hAnsi="宋体" w:eastAsia="宋体" w:cs="宋体"/>
          <w:b/>
          <w:bCs/>
          <w:szCs w:val="21"/>
        </w:rPr>
      </w:pPr>
    </w:p>
    <w:p w14:paraId="4F84079F">
      <w:pPr>
        <w:pStyle w:val="31"/>
        <w:ind w:left="0"/>
        <w:rPr>
          <w:rFonts w:ascii="宋体" w:hAnsi="宋体" w:eastAsia="宋体" w:cs="宋体"/>
          <w:b/>
          <w:bCs/>
          <w:szCs w:val="21"/>
        </w:rPr>
      </w:pPr>
    </w:p>
    <w:p w14:paraId="188E9CAD">
      <w:pPr>
        <w:pStyle w:val="31"/>
        <w:ind w:left="0"/>
        <w:rPr>
          <w:rFonts w:ascii="宋体" w:hAnsi="宋体" w:eastAsia="宋体" w:cs="宋体"/>
          <w:b/>
          <w:bCs/>
          <w:szCs w:val="21"/>
        </w:rPr>
      </w:pPr>
    </w:p>
    <w:bookmarkEnd w:id="1"/>
    <w:bookmarkEnd w:id="2"/>
    <w:bookmarkEnd w:id="3"/>
    <w:bookmarkEnd w:id="4"/>
    <w:bookmarkEnd w:id="5"/>
    <w:bookmarkEnd w:id="6"/>
    <w:bookmarkEnd w:id="7"/>
    <w:p w14:paraId="1ED0C4F5">
      <w:pPr>
        <w:spacing w:line="460" w:lineRule="exact"/>
        <w:rPr>
          <w:rFonts w:ascii="华文中宋" w:hAnsi="华文中宋" w:eastAsia="华文中宋"/>
          <w:b/>
          <w:color w:val="auto"/>
          <w:kern w:val="44"/>
          <w:sz w:val="44"/>
          <w:szCs w:val="24"/>
        </w:rPr>
        <w:sectPr>
          <w:headerReference r:id="rId5" w:type="default"/>
          <w:footerReference r:id="rId6" w:type="default"/>
          <w:pgSz w:w="11906" w:h="16838"/>
          <w:pgMar w:top="1134" w:right="1417" w:bottom="1134" w:left="1417" w:header="283" w:footer="567" w:gutter="0"/>
          <w:pgNumType w:start="1"/>
          <w:cols w:space="720" w:num="1"/>
          <w:docGrid w:type="lines" w:linePitch="324" w:charSpace="0"/>
        </w:sectPr>
      </w:pPr>
      <w:bookmarkStart w:id="8" w:name="_Toc35549351"/>
      <w:bookmarkStart w:id="9" w:name="_Toc35549706"/>
    </w:p>
    <w:p w14:paraId="76C38B30">
      <w:pPr>
        <w:numPr>
          <w:ilvl w:val="0"/>
          <w:numId w:val="1"/>
        </w:numPr>
        <w:spacing w:beforeLines="50" w:afterLines="50" w:line="440" w:lineRule="exact"/>
        <w:jc w:val="center"/>
        <w:outlineLvl w:val="0"/>
        <w:rPr>
          <w:rFonts w:ascii="黑体" w:hAnsi="黑体" w:eastAsia="黑体" w:cs="黑体"/>
          <w:b/>
          <w:color w:val="auto"/>
          <w:kern w:val="44"/>
          <w:sz w:val="32"/>
          <w:szCs w:val="32"/>
        </w:rPr>
      </w:pPr>
      <w:bookmarkStart w:id="10" w:name="_Toc895"/>
      <w:bookmarkStart w:id="11" w:name="_Toc15532"/>
      <w:r>
        <w:rPr>
          <w:rFonts w:hint="eastAsia" w:ascii="黑体" w:hAnsi="黑体" w:eastAsia="黑体" w:cs="黑体"/>
          <w:b/>
          <w:color w:val="auto"/>
          <w:kern w:val="44"/>
          <w:sz w:val="32"/>
          <w:szCs w:val="32"/>
        </w:rPr>
        <w:t>招标公告</w:t>
      </w:r>
      <w:bookmarkEnd w:id="10"/>
      <w:bookmarkEnd w:id="11"/>
    </w:p>
    <w:p w14:paraId="6138D0AA">
      <w:pPr>
        <w:widowControl w:val="0"/>
        <w:spacing w:line="360" w:lineRule="auto"/>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项目概况</w:t>
      </w:r>
    </w:p>
    <w:p w14:paraId="1566F270">
      <w:pPr>
        <w:widowControl w:val="0"/>
        <w:wordWrap w:val="0"/>
        <w:spacing w:line="360" w:lineRule="auto"/>
        <w:ind w:firstLine="560" w:firstLineChars="200"/>
        <w:textAlignment w:val="auto"/>
        <w:rPr>
          <w:rFonts w:ascii="仿宋" w:hAnsi="仿宋" w:eastAsia="仿宋"/>
          <w:color w:val="auto"/>
          <w:sz w:val="28"/>
          <w:szCs w:val="28"/>
        </w:rPr>
      </w:pPr>
      <w:r>
        <w:rPr>
          <w:rFonts w:hint="eastAsia" w:ascii="仿宋" w:hAnsi="仿宋" w:eastAsia="仿宋" w:cs="仿宋"/>
          <w:color w:val="auto"/>
          <w:sz w:val="28"/>
          <w:szCs w:val="28"/>
          <w:u w:val="single"/>
        </w:rPr>
        <w:t>滁州市机电工程学校中心机房维保项目</w:t>
      </w:r>
      <w:r>
        <w:rPr>
          <w:rFonts w:hint="eastAsia" w:ascii="仿宋" w:hAnsi="仿宋" w:eastAsia="仿宋" w:cs="仿宋"/>
          <w:color w:val="auto"/>
          <w:sz w:val="28"/>
          <w:szCs w:val="28"/>
        </w:rPr>
        <w:t>招标项目的潜在投标人应在</w:t>
      </w:r>
      <w:r>
        <w:rPr>
          <w:rFonts w:hint="eastAsia" w:ascii="仿宋" w:hAnsi="仿宋" w:eastAsia="仿宋" w:cs="仿宋"/>
          <w:color w:val="auto"/>
          <w:sz w:val="28"/>
          <w:szCs w:val="28"/>
          <w:u w:val="single"/>
        </w:rPr>
        <w:t>滁州市机电工程学校官网（http://www.cztc.edu.cn/）</w:t>
      </w:r>
      <w:r>
        <w:rPr>
          <w:rFonts w:hint="eastAsia" w:ascii="仿宋" w:hAnsi="仿宋" w:eastAsia="仿宋" w:cs="仿宋"/>
          <w:color w:val="auto"/>
          <w:sz w:val="28"/>
          <w:szCs w:val="28"/>
        </w:rPr>
        <w:t>获取招标文件，并于</w:t>
      </w:r>
      <w:r>
        <w:rPr>
          <w:rFonts w:hint="eastAsia" w:ascii="仿宋" w:hAnsi="仿宋" w:eastAsia="仿宋" w:cs="仿宋"/>
          <w:color w:val="auto"/>
          <w:sz w:val="28"/>
          <w:szCs w:val="28"/>
          <w:u w:val="single"/>
        </w:rPr>
        <w:t>2024年0</w:t>
      </w:r>
      <w:r>
        <w:rPr>
          <w:rFonts w:hint="eastAsia" w:ascii="仿宋" w:hAnsi="仿宋" w:eastAsia="仿宋" w:cs="仿宋"/>
          <w:color w:val="auto"/>
          <w:sz w:val="28"/>
          <w:szCs w:val="28"/>
          <w:u w:val="single"/>
          <w:lang w:val="en-US" w:eastAsia="zh-CN"/>
        </w:rPr>
        <w:t>9</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11</w:t>
      </w:r>
      <w:r>
        <w:rPr>
          <w:rFonts w:hint="eastAsia" w:ascii="仿宋" w:hAnsi="仿宋" w:eastAsia="仿宋" w:cs="仿宋"/>
          <w:color w:val="auto"/>
          <w:sz w:val="28"/>
          <w:szCs w:val="28"/>
          <w:u w:val="single"/>
        </w:rPr>
        <w:t>日15点00分</w:t>
      </w:r>
      <w:r>
        <w:rPr>
          <w:rFonts w:hint="eastAsia" w:ascii="仿宋" w:hAnsi="仿宋" w:eastAsia="仿宋" w:cs="仿宋"/>
          <w:color w:val="auto"/>
          <w:sz w:val="28"/>
          <w:szCs w:val="28"/>
        </w:rPr>
        <w:t>（北京时间）前递交投标文件</w:t>
      </w:r>
      <w:r>
        <w:rPr>
          <w:rFonts w:hint="eastAsia" w:ascii="仿宋" w:hAnsi="仿宋" w:eastAsia="仿宋"/>
          <w:color w:val="auto"/>
          <w:sz w:val="28"/>
          <w:szCs w:val="28"/>
        </w:rPr>
        <w:t>。</w:t>
      </w:r>
    </w:p>
    <w:p w14:paraId="67C82343">
      <w:pPr>
        <w:widowControl w:val="0"/>
        <w:spacing w:line="360" w:lineRule="auto"/>
        <w:textAlignment w:val="auto"/>
        <w:rPr>
          <w:rFonts w:ascii="黑体" w:hAnsi="黑体" w:eastAsia="黑体" w:cs="黑体"/>
          <w:color w:val="auto"/>
          <w:sz w:val="28"/>
          <w:szCs w:val="28"/>
        </w:rPr>
      </w:pPr>
      <w:r>
        <w:rPr>
          <w:rFonts w:hint="eastAsia" w:ascii="黑体" w:hAnsi="黑体" w:eastAsia="黑体" w:cs="黑体"/>
          <w:color w:val="auto"/>
          <w:sz w:val="28"/>
          <w:szCs w:val="28"/>
        </w:rPr>
        <w:t>一、项目基本情况</w:t>
      </w:r>
    </w:p>
    <w:p w14:paraId="384F0D06">
      <w:pPr>
        <w:widowControl w:val="0"/>
        <w:spacing w:line="360" w:lineRule="auto"/>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项目名称：滁州市机电工程学校中心机房维保项目</w:t>
      </w:r>
    </w:p>
    <w:p w14:paraId="490A27AC">
      <w:pPr>
        <w:widowControl w:val="0"/>
        <w:spacing w:line="360" w:lineRule="auto"/>
        <w:ind w:firstLine="560" w:firstLineChars="20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rPr>
        <w:t>预算金额：3万/年</w:t>
      </w:r>
    </w:p>
    <w:p w14:paraId="4299F8CC">
      <w:pPr>
        <w:widowControl w:val="0"/>
        <w:spacing w:line="300" w:lineRule="atLeast"/>
        <w:ind w:firstLine="560" w:firstLineChars="200"/>
        <w:jc w:val="left"/>
        <w:rPr>
          <w:rFonts w:ascii="仿宋" w:hAnsi="仿宋" w:eastAsia="仿宋"/>
          <w:color w:val="auto"/>
          <w:sz w:val="28"/>
          <w:szCs w:val="28"/>
        </w:rPr>
      </w:pPr>
      <w:r>
        <w:rPr>
          <w:rFonts w:hint="eastAsia" w:ascii="仿宋" w:hAnsi="仿宋" w:eastAsia="仿宋"/>
          <w:color w:val="auto"/>
          <w:sz w:val="28"/>
          <w:szCs w:val="28"/>
        </w:rPr>
        <w:t>最高限价：3万/年</w:t>
      </w:r>
      <w:r>
        <w:rPr>
          <w:rFonts w:hint="eastAsia" w:ascii="仿宋" w:hAnsi="仿宋" w:eastAsia="仿宋" w:cs="仿宋"/>
          <w:color w:val="auto"/>
          <w:kern w:val="2"/>
          <w:sz w:val="28"/>
          <w:szCs w:val="28"/>
        </w:rPr>
        <w:t>，投标报价高于最高限价的，其投标文件按无效投标处理。</w:t>
      </w:r>
    </w:p>
    <w:p w14:paraId="351380B5">
      <w:pPr>
        <w:widowControl w:val="0"/>
        <w:spacing w:line="360" w:lineRule="auto"/>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采购需求：本次招标中心机房位于综合楼一楼，建筑面积约94平米，主机房设计区域约56 m2；配电室设计区域约20 m2，监控室约为18 m2，设计净高：机房区净高2.7m；地板架空：机房区域地板架空0.4m。主机房设计区域主要放置电气供配电系统，防雷接地系统，精密空调（2台），综合布线系统，集中监控系统，KVM设备系统，配电室区域主要放置UPS不间断电源系统（2套），蓄电池，消防报警及灭火系统。</w:t>
      </w:r>
      <w:r>
        <w:rPr>
          <w:rFonts w:hint="eastAsia" w:ascii="仿宋" w:hAnsi="仿宋" w:eastAsia="仿宋"/>
          <w:color w:val="auto"/>
          <w:sz w:val="28"/>
          <w:szCs w:val="28"/>
          <w:lang w:val="en-US" w:eastAsia="zh-CN"/>
        </w:rPr>
        <w:t>本次维保内容为</w:t>
      </w:r>
      <w:r>
        <w:rPr>
          <w:rFonts w:hint="eastAsia" w:ascii="仿宋" w:hAnsi="仿宋" w:eastAsia="仿宋"/>
          <w:color w:val="auto"/>
          <w:sz w:val="28"/>
          <w:szCs w:val="28"/>
        </w:rPr>
        <w:t>空气调节系统</w:t>
      </w:r>
      <w:r>
        <w:rPr>
          <w:rFonts w:hint="eastAsia" w:ascii="仿宋" w:hAnsi="仿宋" w:eastAsia="仿宋"/>
          <w:color w:val="auto"/>
          <w:sz w:val="28"/>
          <w:szCs w:val="28"/>
          <w:lang w:eastAsia="zh-CN"/>
        </w:rPr>
        <w:t>、</w:t>
      </w:r>
      <w:r>
        <w:rPr>
          <w:rFonts w:hint="eastAsia" w:ascii="仿宋" w:hAnsi="仿宋" w:eastAsia="仿宋"/>
          <w:color w:val="auto"/>
          <w:sz w:val="28"/>
          <w:szCs w:val="28"/>
        </w:rPr>
        <w:t>消防报警及灭火系统</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参数详见招标文件及采购清单。 </w:t>
      </w:r>
    </w:p>
    <w:p w14:paraId="2C6EA340">
      <w:pPr>
        <w:pStyle w:val="34"/>
        <w:keepNext w:val="0"/>
        <w:keepLines w:val="0"/>
        <w:widowControl/>
        <w:suppressLineNumbers w:val="0"/>
        <w:spacing w:before="0" w:beforeAutospacing="0" w:after="0" w:afterAutospacing="0" w:line="171" w:lineRule="atLeast"/>
        <w:ind w:left="0" w:right="0" w:firstLine="560"/>
        <w:jc w:val="both"/>
        <w:rPr>
          <w:rFonts w:hint="eastAsia" w:ascii="仿宋" w:hAnsi="仿宋" w:eastAsia="仿宋"/>
          <w:color w:val="auto"/>
          <w:sz w:val="28"/>
          <w:szCs w:val="28"/>
          <w:lang w:eastAsia="zh-CN"/>
        </w:rPr>
      </w:pPr>
      <w:r>
        <w:rPr>
          <w:rFonts w:hint="eastAsia" w:ascii="仿宋" w:hAnsi="仿宋" w:eastAsia="仿宋"/>
          <w:color w:val="auto"/>
          <w:sz w:val="28"/>
          <w:szCs w:val="28"/>
        </w:rPr>
        <w:t>服务期：2年</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合</w:t>
      </w:r>
      <w:r>
        <w:rPr>
          <w:rFonts w:ascii="仿宋" w:hAnsi="仿宋" w:eastAsia="仿宋" w:cs="仿宋"/>
          <w:color w:val="000000"/>
          <w:sz w:val="28"/>
          <w:szCs w:val="28"/>
        </w:rPr>
        <w:t>同一年一签</w:t>
      </w:r>
      <w:r>
        <w:rPr>
          <w:rFonts w:hint="eastAsia" w:ascii="仿宋" w:hAnsi="仿宋" w:eastAsia="仿宋" w:cs="仿宋"/>
          <w:color w:val="000000"/>
          <w:sz w:val="28"/>
          <w:szCs w:val="28"/>
          <w:lang w:eastAsia="zh-CN"/>
        </w:rPr>
        <w:t>。</w:t>
      </w:r>
    </w:p>
    <w:p w14:paraId="7F1516C4">
      <w:pPr>
        <w:widowControl w:val="0"/>
        <w:spacing w:line="360" w:lineRule="auto"/>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本项目不接受联合体投标。</w:t>
      </w:r>
    </w:p>
    <w:p w14:paraId="034C2332">
      <w:pPr>
        <w:widowControl w:val="0"/>
        <w:spacing w:line="360" w:lineRule="auto"/>
        <w:textAlignment w:val="auto"/>
        <w:rPr>
          <w:rFonts w:ascii="黑体" w:hAnsi="黑体" w:eastAsia="黑体" w:cs="黑体"/>
          <w:color w:val="auto"/>
          <w:sz w:val="28"/>
          <w:szCs w:val="28"/>
        </w:rPr>
      </w:pPr>
      <w:bookmarkStart w:id="12" w:name="_Toc28359003"/>
      <w:bookmarkStart w:id="13" w:name="_Toc35393791"/>
      <w:bookmarkStart w:id="14" w:name="_Toc28359080"/>
      <w:bookmarkStart w:id="15" w:name="_Toc35393622"/>
      <w:r>
        <w:rPr>
          <w:rFonts w:hint="eastAsia" w:ascii="黑体" w:hAnsi="黑体" w:eastAsia="黑体" w:cs="黑体"/>
          <w:color w:val="auto"/>
          <w:sz w:val="28"/>
          <w:szCs w:val="28"/>
        </w:rPr>
        <w:t>二、申请人的资格要求</w:t>
      </w:r>
      <w:bookmarkEnd w:id="12"/>
      <w:bookmarkEnd w:id="13"/>
      <w:bookmarkEnd w:id="14"/>
      <w:bookmarkEnd w:id="15"/>
    </w:p>
    <w:p w14:paraId="6DE023E6">
      <w:pPr>
        <w:widowControl w:val="0"/>
        <w:spacing w:line="360" w:lineRule="auto"/>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1.满足《中华人民共和国政府采购法》第二十二条规定；</w:t>
      </w:r>
    </w:p>
    <w:p w14:paraId="0B77638E">
      <w:pPr>
        <w:ind w:firstLine="560" w:firstLineChars="200"/>
        <w:rPr>
          <w:rFonts w:eastAsia="仿宋"/>
          <w:color w:val="auto"/>
        </w:rPr>
      </w:pPr>
      <w:bookmarkStart w:id="16" w:name="_Toc28359004"/>
      <w:bookmarkStart w:id="17" w:name="_Toc28359081"/>
      <w:r>
        <w:rPr>
          <w:rFonts w:hint="eastAsia" w:ascii="仿宋" w:hAnsi="仿宋" w:eastAsia="仿宋"/>
          <w:color w:val="auto"/>
          <w:sz w:val="28"/>
          <w:szCs w:val="28"/>
        </w:rPr>
        <w:t>2.落实政府采购政策需满足的资格要求：无</w:t>
      </w:r>
    </w:p>
    <w:p w14:paraId="17C4C426">
      <w:pPr>
        <w:widowControl w:val="0"/>
        <w:spacing w:line="360" w:lineRule="auto"/>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3.本项目的特定资格要求：</w:t>
      </w:r>
      <w:r>
        <w:rPr>
          <w:rFonts w:hint="eastAsia" w:ascii="仿宋" w:hAnsi="仿宋" w:eastAsia="仿宋"/>
          <w:color w:val="auto"/>
          <w:sz w:val="28"/>
          <w:szCs w:val="28"/>
          <w:u w:val="single"/>
        </w:rPr>
        <w:t>无；</w:t>
      </w:r>
    </w:p>
    <w:p w14:paraId="3D0B65F4">
      <w:pPr>
        <w:widowControl w:val="0"/>
        <w:spacing w:line="360" w:lineRule="auto"/>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4.信誉要求：投标人不得存在以下情形：</w:t>
      </w:r>
    </w:p>
    <w:p w14:paraId="4A647EC6">
      <w:pPr>
        <w:widowControl w:val="0"/>
        <w:spacing w:line="360" w:lineRule="auto"/>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①投标人被人民法院列入失信被执行人的；</w:t>
      </w:r>
    </w:p>
    <w:p w14:paraId="2960A8BC">
      <w:pPr>
        <w:widowControl w:val="0"/>
        <w:spacing w:line="360" w:lineRule="auto"/>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②</w:t>
      </w:r>
      <w:r>
        <w:rPr>
          <w:rFonts w:hint="eastAsia" w:ascii="仿宋" w:hAnsi="仿宋" w:eastAsia="仿宋"/>
          <w:color w:val="auto"/>
          <w:kern w:val="2"/>
          <w:sz w:val="28"/>
          <w:szCs w:val="28"/>
        </w:rPr>
        <w:t>投标人或其法定代表人或拟派项目经理（项目负责人）前三年有行贿犯罪行为的</w:t>
      </w:r>
      <w:r>
        <w:rPr>
          <w:rFonts w:hint="eastAsia" w:ascii="仿宋" w:hAnsi="仿宋" w:eastAsia="仿宋"/>
          <w:color w:val="auto"/>
          <w:sz w:val="28"/>
          <w:szCs w:val="28"/>
        </w:rPr>
        <w:t>；</w:t>
      </w:r>
    </w:p>
    <w:p w14:paraId="7DFA6896">
      <w:pPr>
        <w:widowControl w:val="0"/>
        <w:spacing w:line="360" w:lineRule="auto"/>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③投投标人被市场监督管理部门列入经营异常名录或者严重违法企业名单，且未被移除的；</w:t>
      </w:r>
    </w:p>
    <w:p w14:paraId="3A6E11EA">
      <w:pPr>
        <w:widowControl w:val="0"/>
        <w:spacing w:line="360" w:lineRule="auto"/>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④投标人被税务部门列入重大税收违法案件当事人的；</w:t>
      </w:r>
    </w:p>
    <w:p w14:paraId="3499DF7A">
      <w:pPr>
        <w:widowControl w:val="0"/>
        <w:spacing w:line="360" w:lineRule="auto"/>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⑤投标人被政府采购监管部门列入政府采购严重违法失信行为记录名单的；</w:t>
      </w:r>
    </w:p>
    <w:p w14:paraId="530523FE">
      <w:pPr>
        <w:widowControl w:val="0"/>
        <w:spacing w:line="360" w:lineRule="auto"/>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⑥在“信用中国”网站上披露仍在公示期的严重失信行为的；</w:t>
      </w:r>
    </w:p>
    <w:p w14:paraId="709C48E3">
      <w:pPr>
        <w:widowControl w:val="0"/>
        <w:spacing w:line="360" w:lineRule="auto"/>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5.投标人所属分公司、办事处等分支机构存在第4款信誉要求①-⑥项情形之一的，接受投标人参加本项目。</w:t>
      </w:r>
    </w:p>
    <w:p w14:paraId="407EA7BD">
      <w:pPr>
        <w:widowControl w:val="0"/>
        <w:spacing w:line="360" w:lineRule="auto"/>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备注：第4、5条按照“关于联合惩戒失信行为加强信用查询管理的通知”查询或承诺。</w:t>
      </w:r>
    </w:p>
    <w:p w14:paraId="4066A438">
      <w:pPr>
        <w:widowControl w:val="0"/>
        <w:spacing w:line="360" w:lineRule="auto"/>
        <w:textAlignment w:val="auto"/>
        <w:rPr>
          <w:rFonts w:ascii="黑体" w:hAnsi="黑体" w:eastAsia="黑体" w:cs="黑体"/>
          <w:color w:val="auto"/>
          <w:sz w:val="28"/>
          <w:szCs w:val="28"/>
        </w:rPr>
      </w:pPr>
      <w:bookmarkStart w:id="18" w:name="_Toc35393792"/>
      <w:bookmarkStart w:id="19" w:name="_Toc35393623"/>
      <w:r>
        <w:rPr>
          <w:rFonts w:hint="eastAsia" w:ascii="黑体" w:hAnsi="黑体" w:eastAsia="黑体" w:cs="黑体"/>
          <w:color w:val="auto"/>
          <w:sz w:val="28"/>
          <w:szCs w:val="28"/>
        </w:rPr>
        <w:t>三、获取招标文件</w:t>
      </w:r>
      <w:bookmarkEnd w:id="16"/>
      <w:bookmarkEnd w:id="17"/>
      <w:bookmarkEnd w:id="18"/>
      <w:bookmarkEnd w:id="19"/>
    </w:p>
    <w:p w14:paraId="624C39FD">
      <w:pPr>
        <w:widowControl w:val="0"/>
        <w:spacing w:line="360" w:lineRule="auto"/>
        <w:ind w:firstLine="560" w:firstLineChars="200"/>
        <w:textAlignment w:val="auto"/>
        <w:rPr>
          <w:rFonts w:ascii="仿宋" w:hAnsi="仿宋" w:eastAsia="仿宋"/>
          <w:color w:val="auto"/>
          <w:sz w:val="28"/>
          <w:szCs w:val="28"/>
          <w:u w:val="single"/>
        </w:rPr>
      </w:pPr>
      <w:r>
        <w:rPr>
          <w:rFonts w:hint="eastAsia" w:ascii="仿宋" w:hAnsi="仿宋" w:eastAsia="仿宋"/>
          <w:color w:val="auto"/>
          <w:sz w:val="28"/>
          <w:szCs w:val="28"/>
        </w:rPr>
        <w:t>时间：</w:t>
      </w:r>
      <w:r>
        <w:rPr>
          <w:rFonts w:hint="eastAsia" w:ascii="仿宋" w:hAnsi="仿宋" w:eastAsia="仿宋"/>
          <w:color w:val="auto"/>
          <w:sz w:val="28"/>
          <w:szCs w:val="28"/>
          <w:u w:val="single"/>
        </w:rPr>
        <w:t>2024年0</w:t>
      </w:r>
      <w:r>
        <w:rPr>
          <w:rFonts w:hint="eastAsia" w:ascii="仿宋" w:hAnsi="仿宋" w:eastAsia="仿宋"/>
          <w:color w:val="auto"/>
          <w:sz w:val="28"/>
          <w:szCs w:val="28"/>
          <w:u w:val="single"/>
          <w:lang w:val="en-US" w:eastAsia="zh-CN"/>
        </w:rPr>
        <w:t>9</w:t>
      </w:r>
      <w:r>
        <w:rPr>
          <w:rFonts w:hint="eastAsia" w:ascii="仿宋" w:hAnsi="仿宋" w:eastAsia="仿宋"/>
          <w:color w:val="auto"/>
          <w:sz w:val="28"/>
          <w:szCs w:val="28"/>
          <w:u w:val="single"/>
        </w:rPr>
        <w:t>月</w:t>
      </w:r>
      <w:r>
        <w:rPr>
          <w:rFonts w:hint="eastAsia" w:ascii="仿宋" w:hAnsi="仿宋" w:eastAsia="仿宋"/>
          <w:color w:val="auto"/>
          <w:sz w:val="28"/>
          <w:szCs w:val="28"/>
          <w:u w:val="single"/>
          <w:lang w:val="en-US" w:eastAsia="zh-CN"/>
        </w:rPr>
        <w:t>03</w:t>
      </w:r>
      <w:r>
        <w:rPr>
          <w:rFonts w:hint="eastAsia" w:ascii="仿宋" w:hAnsi="仿宋" w:eastAsia="仿宋"/>
          <w:color w:val="auto"/>
          <w:sz w:val="28"/>
          <w:szCs w:val="28"/>
          <w:u w:val="single"/>
        </w:rPr>
        <w:t>日</w:t>
      </w:r>
      <w:r>
        <w:rPr>
          <w:rFonts w:hint="eastAsia" w:ascii="仿宋" w:hAnsi="仿宋" w:eastAsia="仿宋"/>
          <w:color w:val="auto"/>
          <w:sz w:val="28"/>
          <w:szCs w:val="28"/>
        </w:rPr>
        <w:t>至</w:t>
      </w:r>
      <w:r>
        <w:rPr>
          <w:rFonts w:hint="eastAsia" w:ascii="仿宋" w:hAnsi="仿宋" w:eastAsia="仿宋"/>
          <w:color w:val="auto"/>
          <w:sz w:val="28"/>
          <w:szCs w:val="28"/>
          <w:u w:val="single"/>
        </w:rPr>
        <w:t>2024年0</w:t>
      </w:r>
      <w:r>
        <w:rPr>
          <w:rFonts w:hint="eastAsia" w:ascii="仿宋" w:hAnsi="仿宋" w:eastAsia="仿宋"/>
          <w:color w:val="auto"/>
          <w:sz w:val="28"/>
          <w:szCs w:val="28"/>
          <w:u w:val="single"/>
          <w:lang w:val="en-US" w:eastAsia="zh-CN"/>
        </w:rPr>
        <w:t>9</w:t>
      </w:r>
      <w:r>
        <w:rPr>
          <w:rFonts w:hint="eastAsia" w:ascii="仿宋" w:hAnsi="仿宋" w:eastAsia="仿宋"/>
          <w:color w:val="auto"/>
          <w:sz w:val="28"/>
          <w:szCs w:val="28"/>
          <w:u w:val="single"/>
        </w:rPr>
        <w:t>月</w:t>
      </w:r>
      <w:r>
        <w:rPr>
          <w:rFonts w:hint="eastAsia" w:ascii="仿宋" w:hAnsi="仿宋" w:eastAsia="仿宋"/>
          <w:color w:val="auto"/>
          <w:sz w:val="28"/>
          <w:szCs w:val="28"/>
          <w:u w:val="single"/>
          <w:lang w:val="en-US" w:eastAsia="zh-CN"/>
        </w:rPr>
        <w:t>11</w:t>
      </w:r>
      <w:r>
        <w:rPr>
          <w:rFonts w:hint="eastAsia" w:ascii="仿宋" w:hAnsi="仿宋" w:eastAsia="仿宋"/>
          <w:color w:val="auto"/>
          <w:sz w:val="28"/>
          <w:szCs w:val="28"/>
          <w:u w:val="single"/>
        </w:rPr>
        <w:t>日（提供期限自本公告发布之日不得少于5个工作日）</w:t>
      </w:r>
    </w:p>
    <w:p w14:paraId="4C2BC5C6">
      <w:pPr>
        <w:widowControl w:val="0"/>
        <w:spacing w:line="360" w:lineRule="auto"/>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地点：滁州市机电工程学校官网</w:t>
      </w:r>
    </w:p>
    <w:p w14:paraId="24DF7C5C">
      <w:pPr>
        <w:widowControl w:val="0"/>
        <w:spacing w:line="360" w:lineRule="auto"/>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方式：网上下载</w:t>
      </w:r>
    </w:p>
    <w:p w14:paraId="26264C7F">
      <w:pPr>
        <w:widowControl w:val="0"/>
        <w:spacing w:line="360" w:lineRule="auto"/>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售价：0元</w:t>
      </w:r>
    </w:p>
    <w:p w14:paraId="65160460">
      <w:pPr>
        <w:widowControl w:val="0"/>
        <w:spacing w:line="360" w:lineRule="auto"/>
        <w:textAlignment w:val="auto"/>
        <w:rPr>
          <w:rFonts w:ascii="黑体" w:hAnsi="黑体" w:eastAsia="黑体" w:cs="黑体"/>
          <w:color w:val="auto"/>
          <w:sz w:val="28"/>
          <w:szCs w:val="28"/>
        </w:rPr>
      </w:pPr>
      <w:bookmarkStart w:id="20" w:name="_Toc28359082"/>
      <w:bookmarkStart w:id="21" w:name="_Toc28359005"/>
      <w:bookmarkStart w:id="22" w:name="_Toc35393793"/>
      <w:bookmarkStart w:id="23" w:name="_Toc35393624"/>
      <w:r>
        <w:rPr>
          <w:rFonts w:hint="eastAsia" w:ascii="黑体" w:hAnsi="黑体" w:eastAsia="黑体" w:cs="黑体"/>
          <w:color w:val="auto"/>
          <w:sz w:val="28"/>
          <w:szCs w:val="28"/>
        </w:rPr>
        <w:t>四、提交投标文件</w:t>
      </w:r>
      <w:bookmarkEnd w:id="20"/>
      <w:bookmarkEnd w:id="21"/>
      <w:r>
        <w:rPr>
          <w:rFonts w:hint="eastAsia" w:ascii="黑体" w:hAnsi="黑体" w:eastAsia="黑体" w:cs="黑体"/>
          <w:color w:val="auto"/>
          <w:sz w:val="28"/>
          <w:szCs w:val="28"/>
        </w:rPr>
        <w:t>截止时间、开标时间和地点</w:t>
      </w:r>
      <w:bookmarkEnd w:id="22"/>
      <w:bookmarkEnd w:id="23"/>
    </w:p>
    <w:p w14:paraId="5958C24E">
      <w:pPr>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u w:val="single"/>
        </w:rPr>
        <w:t>2024年0</w:t>
      </w:r>
      <w:r>
        <w:rPr>
          <w:rFonts w:hint="eastAsia" w:ascii="仿宋" w:hAnsi="仿宋" w:eastAsia="仿宋"/>
          <w:bCs/>
          <w:color w:val="auto"/>
          <w:sz w:val="28"/>
          <w:szCs w:val="28"/>
          <w:u w:val="single"/>
          <w:lang w:val="en-US" w:eastAsia="zh-CN"/>
        </w:rPr>
        <w:t>9</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11</w:t>
      </w:r>
      <w:r>
        <w:rPr>
          <w:rFonts w:hint="eastAsia" w:ascii="仿宋" w:hAnsi="仿宋" w:eastAsia="仿宋"/>
          <w:bCs/>
          <w:color w:val="auto"/>
          <w:sz w:val="28"/>
          <w:szCs w:val="28"/>
          <w:u w:val="single"/>
        </w:rPr>
        <w:t>日15点00分</w:t>
      </w:r>
      <w:r>
        <w:rPr>
          <w:rFonts w:hint="eastAsia" w:ascii="仿宋" w:hAnsi="仿宋" w:eastAsia="仿宋"/>
          <w:bCs/>
          <w:color w:val="auto"/>
          <w:sz w:val="28"/>
          <w:szCs w:val="28"/>
        </w:rPr>
        <w:t>（北京时间）</w:t>
      </w:r>
    </w:p>
    <w:p w14:paraId="3F33574A">
      <w:pPr>
        <w:spacing w:line="360" w:lineRule="auto"/>
        <w:ind w:firstLine="560" w:firstLineChars="200"/>
        <w:rPr>
          <w:rFonts w:ascii="仿宋" w:hAnsi="仿宋" w:eastAsia="仿宋"/>
          <w:bCs/>
          <w:color w:val="auto"/>
          <w:sz w:val="28"/>
          <w:szCs w:val="28"/>
          <w:u w:val="single"/>
        </w:rPr>
      </w:pPr>
      <w:r>
        <w:rPr>
          <w:rFonts w:hint="eastAsia" w:ascii="仿宋" w:hAnsi="仿宋" w:eastAsia="仿宋"/>
          <w:color w:val="auto"/>
          <w:sz w:val="28"/>
          <w:szCs w:val="28"/>
        </w:rPr>
        <w:t>地点：滁州市凤凰西路延伸段凤凰大厦安徽人和项目管理有限公司四单元5楼517会议室</w:t>
      </w:r>
    </w:p>
    <w:p w14:paraId="3049B7F2">
      <w:pPr>
        <w:widowControl w:val="0"/>
        <w:spacing w:line="360" w:lineRule="auto"/>
        <w:textAlignment w:val="auto"/>
        <w:rPr>
          <w:rFonts w:ascii="黑体" w:hAnsi="黑体" w:eastAsia="黑体" w:cs="黑体"/>
          <w:color w:val="auto"/>
          <w:sz w:val="28"/>
          <w:szCs w:val="28"/>
        </w:rPr>
      </w:pPr>
      <w:bookmarkStart w:id="24" w:name="_Toc28359084"/>
      <w:bookmarkStart w:id="25" w:name="_Toc35393625"/>
      <w:bookmarkStart w:id="26" w:name="_Toc35393794"/>
      <w:bookmarkStart w:id="27" w:name="_Toc28359007"/>
      <w:r>
        <w:rPr>
          <w:rFonts w:hint="eastAsia" w:ascii="黑体" w:hAnsi="黑体" w:eastAsia="黑体" w:cs="黑体"/>
          <w:color w:val="auto"/>
          <w:sz w:val="28"/>
          <w:szCs w:val="28"/>
        </w:rPr>
        <w:t>五、公告期限</w:t>
      </w:r>
      <w:bookmarkEnd w:id="24"/>
      <w:bookmarkEnd w:id="25"/>
      <w:bookmarkEnd w:id="26"/>
      <w:bookmarkEnd w:id="27"/>
    </w:p>
    <w:p w14:paraId="450B040A">
      <w:pPr>
        <w:spacing w:line="360" w:lineRule="auto"/>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自本公告发布之日起3个工作日。</w:t>
      </w:r>
    </w:p>
    <w:p w14:paraId="5B35A55A">
      <w:pPr>
        <w:widowControl w:val="0"/>
        <w:spacing w:line="360" w:lineRule="auto"/>
        <w:textAlignment w:val="auto"/>
        <w:rPr>
          <w:rFonts w:ascii="黑体" w:hAnsi="黑体" w:eastAsia="黑体" w:cs="黑体"/>
          <w:color w:val="auto"/>
          <w:sz w:val="28"/>
          <w:szCs w:val="28"/>
        </w:rPr>
      </w:pPr>
      <w:r>
        <w:rPr>
          <w:rFonts w:hint="eastAsia" w:ascii="黑体" w:hAnsi="黑体" w:eastAsia="黑体" w:cs="黑体"/>
          <w:color w:val="auto"/>
          <w:sz w:val="28"/>
          <w:szCs w:val="28"/>
        </w:rPr>
        <w:t>六、投标保证金金额及缴纳账户</w:t>
      </w:r>
    </w:p>
    <w:p w14:paraId="6263D91F">
      <w:pPr>
        <w:widowControl w:val="0"/>
        <w:spacing w:line="360" w:lineRule="auto"/>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是否要求投标人提交投标保证金：不要求。</w:t>
      </w:r>
    </w:p>
    <w:p w14:paraId="12228D29">
      <w:pPr>
        <w:widowControl w:val="0"/>
        <w:numPr>
          <w:ilvl w:val="0"/>
          <w:numId w:val="2"/>
        </w:numPr>
        <w:spacing w:line="240" w:lineRule="auto"/>
        <w:textAlignment w:val="auto"/>
        <w:rPr>
          <w:rFonts w:ascii="黑体" w:hAnsi="黑体" w:eastAsia="黑体" w:cs="黑体"/>
          <w:color w:val="auto"/>
          <w:sz w:val="28"/>
          <w:szCs w:val="28"/>
        </w:rPr>
      </w:pPr>
      <w:bookmarkStart w:id="28" w:name="_Toc35393795"/>
      <w:bookmarkStart w:id="29" w:name="_Toc35393626"/>
      <w:r>
        <w:rPr>
          <w:rFonts w:hint="eastAsia" w:ascii="黑体" w:hAnsi="黑体" w:eastAsia="黑体" w:cs="黑体"/>
          <w:color w:val="auto"/>
          <w:sz w:val="28"/>
          <w:szCs w:val="28"/>
        </w:rPr>
        <w:t>其他补充事宜</w:t>
      </w:r>
      <w:bookmarkEnd w:id="28"/>
      <w:bookmarkEnd w:id="29"/>
    </w:p>
    <w:p w14:paraId="48F4DA9B">
      <w:pPr>
        <w:pStyle w:val="39"/>
        <w:spacing w:line="240" w:lineRule="auto"/>
        <w:ind w:left="0" w:leftChars="0" w:firstLine="840" w:firstLineChars="300"/>
        <w:rPr>
          <w:rFonts w:ascii="仿宋" w:hAnsi="仿宋" w:eastAsia="仿宋"/>
          <w:color w:val="auto"/>
          <w:sz w:val="28"/>
          <w:szCs w:val="28"/>
        </w:rPr>
      </w:pPr>
      <w:r>
        <w:rPr>
          <w:rFonts w:hint="eastAsia" w:ascii="仿宋" w:hAnsi="仿宋" w:eastAsia="仿宋"/>
          <w:color w:val="auto"/>
          <w:sz w:val="28"/>
          <w:szCs w:val="28"/>
        </w:rPr>
        <w:t>无</w:t>
      </w:r>
    </w:p>
    <w:p w14:paraId="0C9AF2C3">
      <w:pPr>
        <w:widowControl w:val="0"/>
        <w:spacing w:line="240" w:lineRule="auto"/>
        <w:textAlignment w:val="auto"/>
        <w:rPr>
          <w:rFonts w:ascii="黑体" w:hAnsi="黑体" w:eastAsia="黑体" w:cs="黑体"/>
          <w:color w:val="auto"/>
          <w:sz w:val="28"/>
          <w:szCs w:val="28"/>
        </w:rPr>
      </w:pPr>
      <w:bookmarkStart w:id="30" w:name="_Toc58430312"/>
      <w:r>
        <w:rPr>
          <w:rFonts w:hint="eastAsia" w:ascii="黑体" w:hAnsi="黑体" w:eastAsia="黑体" w:cs="黑体"/>
          <w:color w:val="auto"/>
          <w:sz w:val="28"/>
          <w:szCs w:val="28"/>
        </w:rPr>
        <w:t>八、对本次招标提出询问，请按以下方式联系</w:t>
      </w:r>
      <w:bookmarkEnd w:id="30"/>
    </w:p>
    <w:bookmarkEnd w:id="8"/>
    <w:bookmarkEnd w:id="9"/>
    <w:p w14:paraId="16CA04FF">
      <w:pPr>
        <w:spacing w:line="360" w:lineRule="auto"/>
        <w:ind w:firstLine="560" w:firstLineChars="200"/>
        <w:rPr>
          <w:rFonts w:ascii="仿宋" w:hAnsi="仿宋" w:eastAsia="仿宋" w:cs="宋体"/>
          <w:color w:val="auto"/>
          <w:sz w:val="28"/>
          <w:szCs w:val="28"/>
        </w:rPr>
      </w:pPr>
      <w:bookmarkStart w:id="31" w:name="_Toc58430313"/>
      <w:r>
        <w:rPr>
          <w:rFonts w:hint="eastAsia" w:ascii="仿宋" w:hAnsi="仿宋" w:eastAsia="仿宋" w:cs="宋体"/>
          <w:color w:val="auto"/>
          <w:sz w:val="28"/>
          <w:szCs w:val="28"/>
        </w:rPr>
        <w:t>1.采购人信息</w:t>
      </w:r>
    </w:p>
    <w:p w14:paraId="6226D41B">
      <w:pPr>
        <w:spacing w:line="360" w:lineRule="auto"/>
        <w:ind w:firstLine="560" w:firstLineChars="200"/>
        <w:rPr>
          <w:rFonts w:ascii="仿宋" w:hAnsi="仿宋" w:eastAsia="仿宋"/>
          <w:color w:val="auto"/>
          <w:sz w:val="28"/>
          <w:szCs w:val="28"/>
          <w:u w:val="single"/>
        </w:rPr>
      </w:pPr>
      <w:bookmarkStart w:id="32" w:name="_Toc28359009"/>
      <w:bookmarkStart w:id="33" w:name="_Toc28359086"/>
      <w:r>
        <w:rPr>
          <w:rFonts w:hint="eastAsia" w:ascii="仿宋" w:hAnsi="仿宋" w:eastAsia="仿宋"/>
          <w:color w:val="auto"/>
          <w:sz w:val="28"/>
          <w:szCs w:val="28"/>
        </w:rPr>
        <w:t>名 称：</w:t>
      </w:r>
      <w:r>
        <w:rPr>
          <w:rFonts w:hint="eastAsia" w:ascii="仿宋" w:hAnsi="仿宋" w:eastAsia="仿宋"/>
          <w:color w:val="auto"/>
          <w:sz w:val="28"/>
          <w:szCs w:val="28"/>
          <w:u w:val="single"/>
        </w:rPr>
        <w:t>滁州市机电工程学校</w:t>
      </w:r>
    </w:p>
    <w:p w14:paraId="5A3D8120">
      <w:pPr>
        <w:spacing w:line="360" w:lineRule="auto"/>
        <w:ind w:firstLine="560" w:firstLineChars="200"/>
        <w:rPr>
          <w:rFonts w:ascii="仿宋" w:hAnsi="仿宋" w:eastAsia="仿宋"/>
          <w:color w:val="auto"/>
          <w:sz w:val="28"/>
          <w:szCs w:val="28"/>
          <w:u w:val="single"/>
        </w:rPr>
      </w:pPr>
      <w:r>
        <w:rPr>
          <w:rFonts w:hint="eastAsia" w:ascii="仿宋" w:hAnsi="仿宋" w:eastAsia="仿宋"/>
          <w:color w:val="auto"/>
          <w:sz w:val="28"/>
          <w:szCs w:val="28"/>
        </w:rPr>
        <w:t>地 址：</w:t>
      </w:r>
      <w:r>
        <w:rPr>
          <w:rFonts w:hint="eastAsia" w:ascii="仿宋" w:hAnsi="仿宋" w:eastAsia="仿宋"/>
          <w:color w:val="auto"/>
          <w:sz w:val="28"/>
          <w:szCs w:val="28"/>
          <w:u w:val="single"/>
        </w:rPr>
        <w:t>安徽省滁州市丰乐大道2238号</w:t>
      </w:r>
    </w:p>
    <w:p w14:paraId="1FDCDB34">
      <w:pPr>
        <w:spacing w:line="360" w:lineRule="auto"/>
        <w:ind w:firstLine="560" w:firstLineChars="200"/>
        <w:rPr>
          <w:rFonts w:ascii="仿宋" w:hAnsi="仿宋" w:eastAsia="仿宋"/>
          <w:color w:val="auto"/>
          <w:sz w:val="28"/>
          <w:szCs w:val="28"/>
          <w:u w:val="single"/>
        </w:rPr>
      </w:pPr>
      <w:r>
        <w:rPr>
          <w:rFonts w:hint="eastAsia" w:ascii="仿宋" w:hAnsi="仿宋" w:eastAsia="仿宋"/>
          <w:color w:val="auto"/>
          <w:sz w:val="28"/>
          <w:szCs w:val="28"/>
        </w:rPr>
        <w:t>联系方式：</w:t>
      </w:r>
      <w:r>
        <w:rPr>
          <w:rFonts w:hint="eastAsia" w:ascii="仿宋" w:hAnsi="仿宋" w:eastAsia="仿宋"/>
          <w:color w:val="auto"/>
          <w:sz w:val="28"/>
          <w:szCs w:val="28"/>
          <w:u w:val="single"/>
        </w:rPr>
        <w:t xml:space="preserve">许老师  13855080927 </w:t>
      </w:r>
    </w:p>
    <w:p w14:paraId="63A035B0">
      <w:pPr>
        <w:spacing w:line="360" w:lineRule="auto"/>
        <w:ind w:firstLine="560" w:firstLineChars="200"/>
        <w:rPr>
          <w:rFonts w:ascii="仿宋" w:hAnsi="仿宋" w:eastAsia="仿宋"/>
          <w:color w:val="auto"/>
          <w:sz w:val="28"/>
          <w:szCs w:val="28"/>
        </w:rPr>
      </w:pPr>
      <w:r>
        <w:rPr>
          <w:rFonts w:hint="eastAsia" w:ascii="仿宋" w:hAnsi="仿宋" w:eastAsia="仿宋" w:cs="宋体"/>
          <w:color w:val="auto"/>
          <w:sz w:val="28"/>
          <w:szCs w:val="28"/>
        </w:rPr>
        <w:t>2.采购代理机构信息</w:t>
      </w:r>
      <w:bookmarkEnd w:id="32"/>
      <w:bookmarkEnd w:id="33"/>
    </w:p>
    <w:p w14:paraId="11F309C0">
      <w:pPr>
        <w:pStyle w:val="34"/>
        <w:shd w:val="clear" w:color="auto" w:fill="FFFFFF"/>
        <w:wordWrap w:val="0"/>
        <w:spacing w:before="0" w:beforeAutospacing="0" w:after="0" w:afterAutospacing="0"/>
        <w:ind w:firstLine="560" w:firstLineChars="200"/>
        <w:rPr>
          <w:rFonts w:ascii="仿宋" w:hAnsi="仿宋" w:eastAsia="仿宋" w:cs="仿宋"/>
          <w:kern w:val="2"/>
          <w:sz w:val="28"/>
          <w:szCs w:val="28"/>
          <w:shd w:val="clear" w:color="auto" w:fill="FFFFFF"/>
        </w:rPr>
      </w:pPr>
      <w:bookmarkStart w:id="34" w:name="_Toc28359087"/>
      <w:bookmarkStart w:id="35" w:name="_Toc28359010"/>
      <w:r>
        <w:rPr>
          <w:rFonts w:hint="eastAsia" w:ascii="仿宋" w:hAnsi="仿宋" w:eastAsia="仿宋" w:cs="仿宋"/>
          <w:kern w:val="2"/>
          <w:sz w:val="28"/>
          <w:szCs w:val="28"/>
          <w:shd w:val="clear" w:color="auto" w:fill="FFFFFF"/>
        </w:rPr>
        <w:t>名 称：</w:t>
      </w:r>
      <w:r>
        <w:rPr>
          <w:rFonts w:hint="eastAsia" w:ascii="仿宋" w:hAnsi="仿宋" w:eastAsia="仿宋" w:cs="仿宋"/>
          <w:kern w:val="2"/>
          <w:sz w:val="28"/>
          <w:szCs w:val="28"/>
          <w:u w:val="single"/>
          <w:shd w:val="clear" w:color="auto" w:fill="FFFFFF"/>
        </w:rPr>
        <w:t>安徽人和项目管理有限公司</w:t>
      </w:r>
    </w:p>
    <w:p w14:paraId="51477D99">
      <w:pPr>
        <w:pStyle w:val="34"/>
        <w:shd w:val="clear" w:color="auto" w:fill="FFFFFF"/>
        <w:wordWrap w:val="0"/>
        <w:spacing w:before="0" w:beforeAutospacing="0" w:after="0" w:afterAutospacing="0"/>
        <w:ind w:firstLine="560" w:firstLineChars="200"/>
        <w:rPr>
          <w:rFonts w:ascii="仿宋" w:hAnsi="仿宋" w:eastAsia="仿宋" w:cs="仿宋"/>
          <w:kern w:val="2"/>
          <w:sz w:val="28"/>
          <w:szCs w:val="28"/>
          <w:shd w:val="clear" w:color="auto" w:fill="FFFFFF"/>
        </w:rPr>
      </w:pPr>
      <w:r>
        <w:rPr>
          <w:rFonts w:hint="eastAsia" w:ascii="仿宋" w:hAnsi="仿宋" w:eastAsia="仿宋" w:cs="仿宋"/>
          <w:kern w:val="2"/>
          <w:sz w:val="28"/>
          <w:szCs w:val="28"/>
          <w:shd w:val="clear" w:color="auto" w:fill="FFFFFF"/>
        </w:rPr>
        <w:t>地 址：</w:t>
      </w:r>
      <w:r>
        <w:rPr>
          <w:rFonts w:hint="eastAsia" w:ascii="仿宋" w:hAnsi="仿宋" w:eastAsia="仿宋"/>
          <w:sz w:val="28"/>
          <w:szCs w:val="28"/>
          <w:u w:val="single"/>
        </w:rPr>
        <w:t>滁州市凤凰西路延伸段凤凰大厦二单元4楼406室</w:t>
      </w:r>
    </w:p>
    <w:p w14:paraId="0061614D">
      <w:pPr>
        <w:pStyle w:val="34"/>
        <w:shd w:val="clear" w:color="auto" w:fill="FFFFFF"/>
        <w:wordWrap w:val="0"/>
        <w:spacing w:before="0" w:beforeAutospacing="0" w:after="0" w:afterAutospacing="0"/>
        <w:ind w:firstLine="560" w:firstLineChars="200"/>
        <w:rPr>
          <w:rFonts w:ascii="仿宋" w:hAnsi="仿宋" w:eastAsia="仿宋" w:cs="仿宋"/>
          <w:sz w:val="28"/>
          <w:szCs w:val="28"/>
        </w:rPr>
      </w:pPr>
      <w:r>
        <w:rPr>
          <w:rFonts w:hint="eastAsia" w:ascii="仿宋" w:hAnsi="仿宋" w:eastAsia="仿宋" w:cs="仿宋"/>
          <w:kern w:val="2"/>
          <w:sz w:val="28"/>
          <w:szCs w:val="28"/>
          <w:shd w:val="clear" w:color="auto" w:fill="FFFFFF"/>
        </w:rPr>
        <w:t>联系方式：</w:t>
      </w:r>
      <w:r>
        <w:rPr>
          <w:rFonts w:hint="eastAsia" w:ascii="仿宋" w:hAnsi="仿宋" w:eastAsia="仿宋"/>
          <w:sz w:val="28"/>
          <w:szCs w:val="28"/>
          <w:u w:val="single"/>
        </w:rPr>
        <w:t>索小娟、陈浩 13965638745、15955500407</w:t>
      </w:r>
    </w:p>
    <w:p w14:paraId="7F487B00">
      <w:pPr>
        <w:spacing w:line="360" w:lineRule="auto"/>
        <w:ind w:firstLine="560" w:firstLineChars="200"/>
        <w:rPr>
          <w:rFonts w:ascii="仿宋" w:hAnsi="仿宋" w:eastAsia="仿宋"/>
          <w:color w:val="auto"/>
          <w:sz w:val="28"/>
          <w:szCs w:val="28"/>
          <w:highlight w:val="yellow"/>
          <w:u w:val="single"/>
        </w:rPr>
      </w:pPr>
      <w:r>
        <w:rPr>
          <w:rFonts w:hint="eastAsia" w:ascii="仿宋" w:hAnsi="仿宋" w:eastAsia="仿宋" w:cs="宋体"/>
          <w:color w:val="auto"/>
          <w:sz w:val="28"/>
          <w:szCs w:val="28"/>
        </w:rPr>
        <w:t>3.项目</w:t>
      </w:r>
      <w:r>
        <w:rPr>
          <w:rFonts w:ascii="仿宋" w:hAnsi="仿宋" w:eastAsia="仿宋" w:cs="宋体"/>
          <w:color w:val="auto"/>
          <w:sz w:val="28"/>
          <w:szCs w:val="28"/>
        </w:rPr>
        <w:t>联系方式</w:t>
      </w:r>
      <w:bookmarkEnd w:id="34"/>
      <w:bookmarkEnd w:id="35"/>
    </w:p>
    <w:p w14:paraId="7DE3C614">
      <w:pPr>
        <w:pStyle w:val="23"/>
        <w:spacing w:line="360" w:lineRule="auto"/>
        <w:ind w:firstLine="560" w:firstLineChars="200"/>
        <w:rPr>
          <w:rFonts w:ascii="仿宋" w:hAnsi="仿宋" w:eastAsia="仿宋"/>
          <w:color w:val="auto"/>
          <w:sz w:val="28"/>
          <w:szCs w:val="28"/>
          <w:highlight w:val="yellow"/>
        </w:rPr>
      </w:pPr>
      <w:r>
        <w:rPr>
          <w:rFonts w:hint="eastAsia" w:ascii="仿宋" w:hAnsi="仿宋" w:eastAsia="仿宋"/>
          <w:color w:val="auto"/>
          <w:sz w:val="28"/>
          <w:szCs w:val="28"/>
        </w:rPr>
        <w:t>项目联系人：</w:t>
      </w:r>
      <w:r>
        <w:rPr>
          <w:rFonts w:hint="eastAsia" w:ascii="仿宋" w:hAnsi="仿宋" w:eastAsia="仿宋"/>
          <w:color w:val="auto"/>
          <w:sz w:val="28"/>
          <w:szCs w:val="28"/>
          <w:u w:val="single"/>
        </w:rPr>
        <w:t>许老师、索小娟、陈浩</w:t>
      </w:r>
    </w:p>
    <w:p w14:paraId="49C28F9A">
      <w:pPr>
        <w:spacing w:line="360" w:lineRule="auto"/>
        <w:ind w:firstLine="560" w:firstLineChars="200"/>
        <w:rPr>
          <w:rFonts w:ascii="仿宋" w:hAnsi="仿宋" w:eastAsia="仿宋"/>
          <w:color w:val="auto"/>
          <w:sz w:val="28"/>
          <w:szCs w:val="28"/>
          <w:u w:val="single"/>
        </w:rPr>
      </w:pPr>
      <w:r>
        <w:rPr>
          <w:rFonts w:hint="eastAsia" w:ascii="仿宋" w:hAnsi="仿宋" w:eastAsia="仿宋" w:cs="仿宋"/>
          <w:color w:val="auto"/>
          <w:sz w:val="28"/>
          <w:szCs w:val="28"/>
        </w:rPr>
        <w:t xml:space="preserve">电 话：  </w:t>
      </w:r>
      <w:r>
        <w:rPr>
          <w:rFonts w:hint="eastAsia" w:ascii="仿宋" w:hAnsi="仿宋" w:eastAsia="仿宋"/>
          <w:color w:val="auto"/>
          <w:sz w:val="28"/>
          <w:szCs w:val="28"/>
          <w:u w:val="single"/>
        </w:rPr>
        <w:t>13855080927</w:t>
      </w:r>
      <w:r>
        <w:rPr>
          <w:rFonts w:hint="eastAsia" w:ascii="仿宋" w:hAnsi="仿宋" w:eastAsia="仿宋" w:cs="仿宋"/>
          <w:color w:val="auto"/>
          <w:sz w:val="28"/>
          <w:szCs w:val="28"/>
          <w:u w:val="single"/>
        </w:rPr>
        <w:t>、13965638745、15955500407</w:t>
      </w:r>
    </w:p>
    <w:p w14:paraId="5320BF49">
      <w:pPr>
        <w:pStyle w:val="31"/>
        <w:ind w:left="0" w:firstLine="0"/>
        <w:rPr>
          <w:rFonts w:ascii="宋体"/>
          <w:b/>
          <w:sz w:val="32"/>
          <w:szCs w:val="32"/>
        </w:rPr>
      </w:pPr>
    </w:p>
    <w:p w14:paraId="3D912CE2">
      <w:pPr>
        <w:spacing w:beforeLines="50" w:afterLines="50"/>
        <w:jc w:val="center"/>
        <w:outlineLvl w:val="0"/>
        <w:rPr>
          <w:rFonts w:ascii="宋体"/>
          <w:b/>
          <w:color w:val="auto"/>
          <w:sz w:val="32"/>
          <w:szCs w:val="32"/>
        </w:rPr>
      </w:pPr>
      <w:r>
        <w:rPr>
          <w:rFonts w:hint="eastAsia" w:ascii="宋体"/>
          <w:b/>
          <w:color w:val="auto"/>
          <w:sz w:val="32"/>
          <w:szCs w:val="32"/>
        </w:rPr>
        <w:t>第二章 投标人须知</w:t>
      </w:r>
      <w:bookmarkEnd w:id="31"/>
    </w:p>
    <w:p w14:paraId="441AF254">
      <w:pPr>
        <w:snapToGrid w:val="0"/>
        <w:spacing w:line="500" w:lineRule="exact"/>
        <w:jc w:val="center"/>
        <w:outlineLvl w:val="1"/>
        <w:rPr>
          <w:rFonts w:ascii="宋体"/>
          <w:b/>
          <w:color w:val="auto"/>
          <w:sz w:val="28"/>
          <w:szCs w:val="28"/>
        </w:rPr>
      </w:pPr>
      <w:bookmarkStart w:id="36" w:name="_Toc58430314"/>
      <w:bookmarkStart w:id="37" w:name="_Toc449028865"/>
      <w:r>
        <w:rPr>
          <w:rFonts w:hint="eastAsia" w:ascii="宋体"/>
          <w:b/>
          <w:color w:val="auto"/>
          <w:sz w:val="32"/>
          <w:szCs w:val="32"/>
        </w:rPr>
        <w:t>一、</w:t>
      </w:r>
      <w:r>
        <w:rPr>
          <w:rFonts w:hint="eastAsia" w:ascii="宋体"/>
          <w:b/>
          <w:color w:val="auto"/>
          <w:sz w:val="28"/>
          <w:szCs w:val="28"/>
        </w:rPr>
        <w:t>投标人须知前附表</w:t>
      </w:r>
      <w:bookmarkEnd w:id="36"/>
      <w:bookmarkEnd w:id="37"/>
    </w:p>
    <w:tbl>
      <w:tblPr>
        <w:tblStyle w:val="40"/>
        <w:tblW w:w="0" w:type="auto"/>
        <w:tblInd w:w="-35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75"/>
        <w:gridCol w:w="2125"/>
        <w:gridCol w:w="7150"/>
      </w:tblGrid>
      <w:tr w14:paraId="749B45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trPr>
        <w:tc>
          <w:tcPr>
            <w:tcW w:w="975" w:type="dxa"/>
            <w:vAlign w:val="center"/>
          </w:tcPr>
          <w:p w14:paraId="485157F6">
            <w:pPr>
              <w:pStyle w:val="23"/>
              <w:spacing w:line="440" w:lineRule="exact"/>
              <w:jc w:val="center"/>
              <w:rPr>
                <w:b/>
                <w:color w:val="auto"/>
                <w:szCs w:val="21"/>
              </w:rPr>
            </w:pPr>
            <w:r>
              <w:rPr>
                <w:rFonts w:hint="eastAsia"/>
                <w:b/>
                <w:color w:val="auto"/>
                <w:szCs w:val="21"/>
              </w:rPr>
              <w:t>条款号</w:t>
            </w:r>
          </w:p>
        </w:tc>
        <w:tc>
          <w:tcPr>
            <w:tcW w:w="2125" w:type="dxa"/>
            <w:vAlign w:val="center"/>
          </w:tcPr>
          <w:p w14:paraId="461C4612">
            <w:pPr>
              <w:pStyle w:val="23"/>
              <w:spacing w:line="440" w:lineRule="exact"/>
              <w:jc w:val="center"/>
              <w:rPr>
                <w:b/>
                <w:color w:val="auto"/>
                <w:szCs w:val="21"/>
              </w:rPr>
            </w:pPr>
            <w:r>
              <w:rPr>
                <w:rFonts w:hint="eastAsia"/>
                <w:b/>
                <w:color w:val="auto"/>
                <w:szCs w:val="21"/>
              </w:rPr>
              <w:t>内容</w:t>
            </w:r>
          </w:p>
        </w:tc>
        <w:tc>
          <w:tcPr>
            <w:tcW w:w="7150" w:type="dxa"/>
            <w:vAlign w:val="center"/>
          </w:tcPr>
          <w:p w14:paraId="39ACA227">
            <w:pPr>
              <w:pStyle w:val="23"/>
              <w:spacing w:line="440" w:lineRule="exact"/>
              <w:jc w:val="center"/>
              <w:rPr>
                <w:b/>
                <w:color w:val="auto"/>
                <w:szCs w:val="21"/>
              </w:rPr>
            </w:pPr>
            <w:r>
              <w:rPr>
                <w:rFonts w:hint="eastAsia"/>
                <w:b/>
                <w:color w:val="auto"/>
                <w:szCs w:val="21"/>
              </w:rPr>
              <w:t>说明与要求</w:t>
            </w:r>
          </w:p>
        </w:tc>
      </w:tr>
      <w:tr w14:paraId="106E40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975" w:type="dxa"/>
            <w:vAlign w:val="center"/>
          </w:tcPr>
          <w:p w14:paraId="295B012D">
            <w:pPr>
              <w:pStyle w:val="23"/>
              <w:spacing w:line="440" w:lineRule="exact"/>
              <w:jc w:val="left"/>
              <w:rPr>
                <w:color w:val="auto"/>
                <w:szCs w:val="21"/>
              </w:rPr>
            </w:pPr>
            <w:r>
              <w:rPr>
                <w:rFonts w:hint="eastAsia"/>
                <w:color w:val="auto"/>
                <w:szCs w:val="21"/>
              </w:rPr>
              <w:t>1.1</w:t>
            </w:r>
          </w:p>
        </w:tc>
        <w:tc>
          <w:tcPr>
            <w:tcW w:w="2125" w:type="dxa"/>
            <w:vAlign w:val="center"/>
          </w:tcPr>
          <w:p w14:paraId="08296415">
            <w:pPr>
              <w:pStyle w:val="23"/>
              <w:spacing w:line="440" w:lineRule="exact"/>
              <w:jc w:val="left"/>
              <w:rPr>
                <w:color w:val="auto"/>
                <w:szCs w:val="21"/>
              </w:rPr>
            </w:pPr>
            <w:r>
              <w:rPr>
                <w:rFonts w:hint="eastAsia"/>
                <w:color w:val="auto"/>
                <w:szCs w:val="21"/>
              </w:rPr>
              <w:t>项目名称</w:t>
            </w:r>
          </w:p>
        </w:tc>
        <w:tc>
          <w:tcPr>
            <w:tcW w:w="7150" w:type="dxa"/>
            <w:vAlign w:val="center"/>
          </w:tcPr>
          <w:p w14:paraId="5F6EDB6C">
            <w:pPr>
              <w:pStyle w:val="23"/>
              <w:spacing w:line="440" w:lineRule="exact"/>
              <w:rPr>
                <w:color w:val="auto"/>
                <w:szCs w:val="21"/>
              </w:rPr>
            </w:pPr>
            <w:r>
              <w:rPr>
                <w:rFonts w:hint="eastAsia" w:hAnsi="宋体" w:cs="宋体"/>
                <w:color w:val="auto"/>
                <w:szCs w:val="21"/>
              </w:rPr>
              <w:t xml:space="preserve">滁州市机电工程学校中心机房维保项目 </w:t>
            </w:r>
          </w:p>
        </w:tc>
      </w:tr>
      <w:tr w14:paraId="04C4A3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975" w:type="dxa"/>
            <w:vAlign w:val="center"/>
          </w:tcPr>
          <w:p w14:paraId="38B86315">
            <w:pPr>
              <w:pStyle w:val="23"/>
              <w:spacing w:line="440" w:lineRule="exact"/>
              <w:jc w:val="left"/>
              <w:rPr>
                <w:color w:val="auto"/>
                <w:szCs w:val="21"/>
              </w:rPr>
            </w:pPr>
            <w:r>
              <w:rPr>
                <w:rFonts w:hint="eastAsia"/>
                <w:color w:val="auto"/>
                <w:szCs w:val="21"/>
              </w:rPr>
              <w:t>1.1</w:t>
            </w:r>
          </w:p>
        </w:tc>
        <w:tc>
          <w:tcPr>
            <w:tcW w:w="2125" w:type="dxa"/>
            <w:vAlign w:val="center"/>
          </w:tcPr>
          <w:p w14:paraId="0C565EAE">
            <w:pPr>
              <w:pStyle w:val="23"/>
              <w:spacing w:line="440" w:lineRule="exact"/>
              <w:jc w:val="left"/>
              <w:rPr>
                <w:color w:val="auto"/>
                <w:szCs w:val="21"/>
              </w:rPr>
            </w:pPr>
            <w:r>
              <w:rPr>
                <w:rFonts w:hint="eastAsia"/>
                <w:color w:val="auto"/>
                <w:szCs w:val="21"/>
              </w:rPr>
              <w:t>供货期</w:t>
            </w:r>
          </w:p>
        </w:tc>
        <w:tc>
          <w:tcPr>
            <w:tcW w:w="7150" w:type="dxa"/>
            <w:vAlign w:val="center"/>
          </w:tcPr>
          <w:p w14:paraId="328F28EA">
            <w:pPr>
              <w:pStyle w:val="23"/>
              <w:spacing w:line="440" w:lineRule="exact"/>
              <w:rPr>
                <w:color w:val="auto"/>
                <w:szCs w:val="21"/>
              </w:rPr>
            </w:pPr>
            <w:r>
              <w:rPr>
                <w:rFonts w:hint="eastAsia"/>
                <w:color w:val="auto"/>
                <w:szCs w:val="21"/>
              </w:rPr>
              <w:t>2年</w:t>
            </w:r>
            <w:r>
              <w:rPr>
                <w:rFonts w:hint="eastAsia"/>
                <w:color w:val="auto"/>
                <w:szCs w:val="21"/>
                <w:lang w:eastAsia="zh-CN"/>
              </w:rPr>
              <w:t>，</w:t>
            </w:r>
            <w:r>
              <w:rPr>
                <w:rFonts w:hint="eastAsia"/>
                <w:color w:val="auto"/>
                <w:szCs w:val="21"/>
                <w:lang w:val="en-US" w:eastAsia="zh-CN"/>
              </w:rPr>
              <w:t>合</w:t>
            </w:r>
            <w:r>
              <w:rPr>
                <w:rFonts w:hint="eastAsia"/>
                <w:color w:val="auto"/>
                <w:szCs w:val="21"/>
              </w:rPr>
              <w:t>同一年一签</w:t>
            </w:r>
            <w:r>
              <w:rPr>
                <w:rFonts w:hint="eastAsia"/>
                <w:color w:val="auto"/>
                <w:szCs w:val="21"/>
                <w:lang w:eastAsia="zh-CN"/>
              </w:rPr>
              <w:t>。</w:t>
            </w:r>
          </w:p>
        </w:tc>
      </w:tr>
      <w:tr w14:paraId="6AF192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975" w:type="dxa"/>
            <w:vAlign w:val="center"/>
          </w:tcPr>
          <w:p w14:paraId="3ABD5422">
            <w:pPr>
              <w:pStyle w:val="23"/>
              <w:spacing w:line="440" w:lineRule="exact"/>
              <w:jc w:val="left"/>
              <w:rPr>
                <w:color w:val="auto"/>
                <w:szCs w:val="21"/>
              </w:rPr>
            </w:pPr>
            <w:r>
              <w:rPr>
                <w:rFonts w:hint="eastAsia"/>
                <w:color w:val="auto"/>
                <w:szCs w:val="21"/>
              </w:rPr>
              <w:t>1.1</w:t>
            </w:r>
          </w:p>
        </w:tc>
        <w:tc>
          <w:tcPr>
            <w:tcW w:w="2125" w:type="dxa"/>
            <w:vAlign w:val="center"/>
          </w:tcPr>
          <w:p w14:paraId="0A7174C9">
            <w:pPr>
              <w:pStyle w:val="23"/>
              <w:spacing w:line="440" w:lineRule="exact"/>
              <w:jc w:val="left"/>
              <w:rPr>
                <w:color w:val="auto"/>
                <w:szCs w:val="21"/>
              </w:rPr>
            </w:pPr>
            <w:r>
              <w:rPr>
                <w:rFonts w:hint="eastAsia"/>
                <w:color w:val="auto"/>
                <w:szCs w:val="21"/>
              </w:rPr>
              <w:t>供货地点</w:t>
            </w:r>
          </w:p>
        </w:tc>
        <w:tc>
          <w:tcPr>
            <w:tcW w:w="7150" w:type="dxa"/>
            <w:vAlign w:val="center"/>
          </w:tcPr>
          <w:p w14:paraId="31A8FCAD">
            <w:pPr>
              <w:pStyle w:val="23"/>
              <w:spacing w:line="440" w:lineRule="exact"/>
              <w:rPr>
                <w:color w:val="auto"/>
                <w:szCs w:val="21"/>
              </w:rPr>
            </w:pPr>
            <w:r>
              <w:rPr>
                <w:rFonts w:hint="eastAsia" w:hAnsi="宋体" w:cs="宋体"/>
                <w:color w:val="auto"/>
                <w:szCs w:val="21"/>
              </w:rPr>
              <w:t>采购人指定地点</w:t>
            </w:r>
          </w:p>
        </w:tc>
      </w:tr>
      <w:tr w14:paraId="1026FD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trPr>
        <w:tc>
          <w:tcPr>
            <w:tcW w:w="975" w:type="dxa"/>
            <w:vAlign w:val="center"/>
          </w:tcPr>
          <w:p w14:paraId="376E8281">
            <w:pPr>
              <w:pStyle w:val="23"/>
              <w:spacing w:line="440" w:lineRule="exact"/>
              <w:jc w:val="left"/>
              <w:rPr>
                <w:color w:val="auto"/>
                <w:szCs w:val="21"/>
              </w:rPr>
            </w:pPr>
            <w:r>
              <w:rPr>
                <w:rFonts w:hint="eastAsia"/>
                <w:color w:val="auto"/>
                <w:szCs w:val="21"/>
              </w:rPr>
              <w:t>1.2</w:t>
            </w:r>
          </w:p>
        </w:tc>
        <w:tc>
          <w:tcPr>
            <w:tcW w:w="2125" w:type="dxa"/>
            <w:vAlign w:val="center"/>
          </w:tcPr>
          <w:p w14:paraId="09ACA3A5">
            <w:pPr>
              <w:pStyle w:val="23"/>
              <w:spacing w:line="440" w:lineRule="exact"/>
              <w:jc w:val="left"/>
              <w:rPr>
                <w:color w:val="auto"/>
                <w:szCs w:val="21"/>
              </w:rPr>
            </w:pPr>
            <w:r>
              <w:rPr>
                <w:rFonts w:hint="eastAsia"/>
                <w:color w:val="auto"/>
                <w:szCs w:val="21"/>
              </w:rPr>
              <w:t>采购人联系人及电话</w:t>
            </w:r>
          </w:p>
        </w:tc>
        <w:tc>
          <w:tcPr>
            <w:tcW w:w="7150" w:type="dxa"/>
            <w:vAlign w:val="center"/>
          </w:tcPr>
          <w:p w14:paraId="0D042D44">
            <w:pPr>
              <w:pStyle w:val="23"/>
              <w:spacing w:line="440" w:lineRule="exact"/>
              <w:rPr>
                <w:rFonts w:hAnsi="宋体" w:cs="宋体-18030"/>
                <w:color w:val="auto"/>
                <w:szCs w:val="21"/>
              </w:rPr>
            </w:pPr>
            <w:r>
              <w:rPr>
                <w:rFonts w:hint="eastAsia" w:hAnsi="宋体" w:cs="宋体"/>
                <w:color w:val="auto"/>
                <w:szCs w:val="21"/>
              </w:rPr>
              <w:t>联系人：许老师          联系方式：13855080927</w:t>
            </w:r>
          </w:p>
        </w:tc>
      </w:tr>
      <w:tr w14:paraId="0E607B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98" w:hRule="atLeast"/>
        </w:trPr>
        <w:tc>
          <w:tcPr>
            <w:tcW w:w="975" w:type="dxa"/>
            <w:vAlign w:val="center"/>
          </w:tcPr>
          <w:p w14:paraId="7681428B">
            <w:pPr>
              <w:pStyle w:val="23"/>
              <w:spacing w:line="440" w:lineRule="exact"/>
              <w:jc w:val="left"/>
              <w:rPr>
                <w:color w:val="auto"/>
                <w:szCs w:val="21"/>
              </w:rPr>
            </w:pPr>
            <w:r>
              <w:rPr>
                <w:rFonts w:hint="eastAsia"/>
                <w:color w:val="auto"/>
                <w:szCs w:val="21"/>
              </w:rPr>
              <w:t>1.2</w:t>
            </w:r>
          </w:p>
        </w:tc>
        <w:tc>
          <w:tcPr>
            <w:tcW w:w="2125" w:type="dxa"/>
            <w:vAlign w:val="center"/>
          </w:tcPr>
          <w:p w14:paraId="66932506">
            <w:pPr>
              <w:pStyle w:val="23"/>
              <w:spacing w:line="440" w:lineRule="exact"/>
              <w:jc w:val="left"/>
              <w:rPr>
                <w:color w:val="auto"/>
                <w:szCs w:val="21"/>
              </w:rPr>
            </w:pPr>
            <w:r>
              <w:rPr>
                <w:rFonts w:hint="eastAsia"/>
                <w:color w:val="auto"/>
                <w:szCs w:val="21"/>
              </w:rPr>
              <w:t>采购代理机构联系人及电话</w:t>
            </w:r>
          </w:p>
        </w:tc>
        <w:tc>
          <w:tcPr>
            <w:tcW w:w="7150" w:type="dxa"/>
            <w:vAlign w:val="center"/>
          </w:tcPr>
          <w:p w14:paraId="3FD8BA7B">
            <w:pPr>
              <w:pStyle w:val="23"/>
              <w:spacing w:line="440" w:lineRule="exact"/>
              <w:rPr>
                <w:rFonts w:hAnsi="宋体" w:cs="宋体-18030"/>
                <w:color w:val="auto"/>
                <w:szCs w:val="21"/>
              </w:rPr>
            </w:pPr>
            <w:r>
              <w:rPr>
                <w:rFonts w:hint="eastAsia" w:hAnsi="宋体" w:cs="宋体"/>
                <w:color w:val="auto"/>
                <w:szCs w:val="21"/>
              </w:rPr>
              <w:t>联系人：</w:t>
            </w:r>
            <w:r>
              <w:rPr>
                <w:rFonts w:hint="eastAsia" w:hAnsi="宋体" w:cs="宋体-18030"/>
                <w:color w:val="auto"/>
                <w:szCs w:val="21"/>
              </w:rPr>
              <w:t xml:space="preserve">索小娟、陈浩   </w:t>
            </w:r>
            <w:r>
              <w:rPr>
                <w:rFonts w:hint="eastAsia" w:hAnsi="宋体" w:cs="宋体-18030"/>
                <w:color w:val="auto"/>
                <w:szCs w:val="21"/>
                <w:lang w:val="en-US" w:eastAsia="zh-CN"/>
              </w:rPr>
              <w:t xml:space="preserve"> </w:t>
            </w:r>
            <w:r>
              <w:rPr>
                <w:rFonts w:hint="eastAsia" w:hAnsi="宋体" w:cs="宋体-18030"/>
                <w:color w:val="auto"/>
                <w:szCs w:val="21"/>
              </w:rPr>
              <w:t>联系方式：13965638745、15955500407</w:t>
            </w:r>
          </w:p>
        </w:tc>
      </w:tr>
      <w:tr w14:paraId="1E6747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trPr>
        <w:tc>
          <w:tcPr>
            <w:tcW w:w="975" w:type="dxa"/>
            <w:vAlign w:val="center"/>
          </w:tcPr>
          <w:p w14:paraId="31AB8387">
            <w:pPr>
              <w:pStyle w:val="23"/>
              <w:spacing w:line="440" w:lineRule="exact"/>
              <w:jc w:val="left"/>
              <w:rPr>
                <w:color w:val="auto"/>
                <w:szCs w:val="21"/>
              </w:rPr>
            </w:pPr>
            <w:r>
              <w:rPr>
                <w:rFonts w:hint="eastAsia"/>
                <w:color w:val="auto"/>
                <w:szCs w:val="21"/>
              </w:rPr>
              <w:t>1.3</w:t>
            </w:r>
          </w:p>
        </w:tc>
        <w:tc>
          <w:tcPr>
            <w:tcW w:w="2125" w:type="dxa"/>
            <w:vAlign w:val="center"/>
          </w:tcPr>
          <w:p w14:paraId="6C310211">
            <w:pPr>
              <w:pStyle w:val="23"/>
              <w:spacing w:line="440" w:lineRule="exact"/>
              <w:jc w:val="left"/>
              <w:rPr>
                <w:color w:val="auto"/>
                <w:szCs w:val="21"/>
              </w:rPr>
            </w:pPr>
            <w:r>
              <w:rPr>
                <w:rFonts w:hint="eastAsia"/>
                <w:color w:val="auto"/>
                <w:szCs w:val="21"/>
              </w:rPr>
              <w:t xml:space="preserve">资金来源                                                                                                                                                                 </w:t>
            </w:r>
          </w:p>
        </w:tc>
        <w:tc>
          <w:tcPr>
            <w:tcW w:w="7150" w:type="dxa"/>
            <w:vAlign w:val="center"/>
          </w:tcPr>
          <w:p w14:paraId="18134E70">
            <w:pPr>
              <w:pStyle w:val="23"/>
              <w:spacing w:line="440" w:lineRule="exact"/>
              <w:rPr>
                <w:rFonts w:hAnsi="宋体" w:cs="宋体"/>
                <w:color w:val="auto"/>
                <w:szCs w:val="21"/>
              </w:rPr>
            </w:pPr>
            <w:r>
              <w:rPr>
                <w:rFonts w:hint="eastAsia" w:hAnsi="宋体" w:cs="宋体"/>
                <w:color w:val="auto"/>
                <w:szCs w:val="21"/>
              </w:rPr>
              <w:t>财政资金</w:t>
            </w:r>
          </w:p>
        </w:tc>
      </w:tr>
      <w:tr w14:paraId="73A4A4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975" w:type="dxa"/>
            <w:vAlign w:val="center"/>
          </w:tcPr>
          <w:p w14:paraId="1303525D">
            <w:pPr>
              <w:pStyle w:val="23"/>
              <w:spacing w:line="440" w:lineRule="exact"/>
              <w:jc w:val="left"/>
              <w:rPr>
                <w:color w:val="auto"/>
                <w:szCs w:val="21"/>
              </w:rPr>
            </w:pPr>
            <w:r>
              <w:rPr>
                <w:rFonts w:hint="eastAsia"/>
                <w:color w:val="auto"/>
                <w:szCs w:val="21"/>
              </w:rPr>
              <w:t>1.4</w:t>
            </w:r>
          </w:p>
        </w:tc>
        <w:tc>
          <w:tcPr>
            <w:tcW w:w="2125" w:type="dxa"/>
            <w:vAlign w:val="center"/>
          </w:tcPr>
          <w:p w14:paraId="6A221535">
            <w:pPr>
              <w:pStyle w:val="23"/>
              <w:spacing w:line="440" w:lineRule="exact"/>
              <w:jc w:val="left"/>
              <w:rPr>
                <w:color w:val="auto"/>
                <w:szCs w:val="21"/>
              </w:rPr>
            </w:pPr>
            <w:r>
              <w:rPr>
                <w:rFonts w:hint="eastAsia"/>
                <w:color w:val="auto"/>
                <w:szCs w:val="21"/>
              </w:rPr>
              <w:t>采购预算</w:t>
            </w:r>
          </w:p>
        </w:tc>
        <w:tc>
          <w:tcPr>
            <w:tcW w:w="7150" w:type="dxa"/>
            <w:vAlign w:val="center"/>
          </w:tcPr>
          <w:p w14:paraId="4555CA2D">
            <w:pPr>
              <w:pStyle w:val="23"/>
              <w:spacing w:line="440" w:lineRule="exact"/>
              <w:rPr>
                <w:rFonts w:hAnsi="宋体" w:cs="宋体"/>
                <w:color w:val="auto"/>
                <w:szCs w:val="21"/>
              </w:rPr>
            </w:pPr>
            <w:r>
              <w:rPr>
                <w:rFonts w:hint="eastAsia" w:hAnsi="宋体" w:cs="宋体"/>
                <w:color w:val="auto"/>
                <w:szCs w:val="21"/>
              </w:rPr>
              <w:t>3万/年</w:t>
            </w:r>
          </w:p>
        </w:tc>
      </w:tr>
      <w:tr w14:paraId="408CC5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975" w:type="dxa"/>
            <w:vAlign w:val="center"/>
          </w:tcPr>
          <w:p w14:paraId="32C40F2F">
            <w:pPr>
              <w:pStyle w:val="23"/>
              <w:spacing w:line="440" w:lineRule="exact"/>
              <w:jc w:val="left"/>
              <w:rPr>
                <w:color w:val="auto"/>
                <w:szCs w:val="21"/>
              </w:rPr>
            </w:pPr>
            <w:r>
              <w:rPr>
                <w:rFonts w:hint="eastAsia"/>
                <w:color w:val="auto"/>
                <w:szCs w:val="21"/>
              </w:rPr>
              <w:t>1.5</w:t>
            </w:r>
          </w:p>
        </w:tc>
        <w:tc>
          <w:tcPr>
            <w:tcW w:w="2125" w:type="dxa"/>
            <w:vAlign w:val="center"/>
          </w:tcPr>
          <w:p w14:paraId="2B40E195">
            <w:pPr>
              <w:pStyle w:val="23"/>
              <w:spacing w:line="440" w:lineRule="exact"/>
              <w:jc w:val="left"/>
              <w:rPr>
                <w:color w:val="auto"/>
                <w:szCs w:val="21"/>
              </w:rPr>
            </w:pPr>
            <w:r>
              <w:rPr>
                <w:rFonts w:hint="eastAsia"/>
                <w:color w:val="auto"/>
                <w:szCs w:val="21"/>
              </w:rPr>
              <w:t>最高限价</w:t>
            </w:r>
          </w:p>
        </w:tc>
        <w:tc>
          <w:tcPr>
            <w:tcW w:w="7150" w:type="dxa"/>
            <w:vAlign w:val="center"/>
          </w:tcPr>
          <w:p w14:paraId="2EFB2BF4">
            <w:pPr>
              <w:pStyle w:val="23"/>
              <w:spacing w:line="440" w:lineRule="exact"/>
              <w:rPr>
                <w:rFonts w:hAnsi="宋体" w:cs="宋体"/>
                <w:color w:val="auto"/>
                <w:szCs w:val="21"/>
              </w:rPr>
            </w:pPr>
            <w:r>
              <w:rPr>
                <w:rFonts w:hint="eastAsia" w:hAnsi="宋体" w:cs="宋体"/>
                <w:color w:val="auto"/>
                <w:szCs w:val="21"/>
              </w:rPr>
              <w:t>3万/年，投标报价高于最高限价的，其投标文件按无效投标处理。</w:t>
            </w:r>
          </w:p>
        </w:tc>
      </w:tr>
      <w:tr w14:paraId="331DE6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975" w:type="dxa"/>
            <w:vAlign w:val="center"/>
          </w:tcPr>
          <w:p w14:paraId="0053394A">
            <w:pPr>
              <w:pStyle w:val="23"/>
              <w:spacing w:line="440" w:lineRule="exact"/>
              <w:jc w:val="left"/>
              <w:rPr>
                <w:color w:val="auto"/>
                <w:szCs w:val="21"/>
              </w:rPr>
            </w:pPr>
            <w:r>
              <w:rPr>
                <w:rFonts w:hint="eastAsia"/>
                <w:color w:val="auto"/>
                <w:szCs w:val="21"/>
              </w:rPr>
              <w:t>2.1</w:t>
            </w:r>
          </w:p>
        </w:tc>
        <w:tc>
          <w:tcPr>
            <w:tcW w:w="2125" w:type="dxa"/>
            <w:vAlign w:val="center"/>
          </w:tcPr>
          <w:p w14:paraId="04DFA761">
            <w:pPr>
              <w:pStyle w:val="23"/>
              <w:spacing w:line="440" w:lineRule="exact"/>
              <w:jc w:val="left"/>
              <w:rPr>
                <w:color w:val="auto"/>
                <w:szCs w:val="21"/>
              </w:rPr>
            </w:pPr>
            <w:r>
              <w:rPr>
                <w:rFonts w:hint="eastAsia"/>
                <w:color w:val="auto"/>
                <w:szCs w:val="21"/>
              </w:rPr>
              <w:t>采购内容</w:t>
            </w:r>
          </w:p>
        </w:tc>
        <w:tc>
          <w:tcPr>
            <w:tcW w:w="7150" w:type="dxa"/>
            <w:vAlign w:val="center"/>
          </w:tcPr>
          <w:p w14:paraId="31FBC402">
            <w:pPr>
              <w:pStyle w:val="23"/>
              <w:spacing w:line="440" w:lineRule="exact"/>
              <w:jc w:val="left"/>
              <w:rPr>
                <w:color w:val="auto"/>
                <w:szCs w:val="21"/>
              </w:rPr>
            </w:pPr>
            <w:r>
              <w:rPr>
                <w:rFonts w:hint="eastAsia" w:hAnsi="宋体" w:cs="宋体-18030"/>
                <w:color w:val="auto"/>
                <w:szCs w:val="21"/>
              </w:rPr>
              <w:t>具体</w:t>
            </w:r>
            <w:r>
              <w:rPr>
                <w:rFonts w:hint="eastAsia" w:hAnsi="宋体"/>
                <w:color w:val="auto"/>
                <w:szCs w:val="21"/>
              </w:rPr>
              <w:t>详见</w:t>
            </w:r>
            <w:r>
              <w:rPr>
                <w:rFonts w:hint="eastAsia" w:hAnsi="宋体" w:cs="宋体-18030"/>
                <w:color w:val="auto"/>
                <w:szCs w:val="21"/>
              </w:rPr>
              <w:t>《采购需求及技术参数要求》</w:t>
            </w:r>
          </w:p>
        </w:tc>
      </w:tr>
      <w:tr w14:paraId="092E17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975" w:type="dxa"/>
            <w:vAlign w:val="center"/>
          </w:tcPr>
          <w:p w14:paraId="5AA76CF6">
            <w:pPr>
              <w:pStyle w:val="23"/>
              <w:spacing w:line="440" w:lineRule="exact"/>
              <w:jc w:val="left"/>
              <w:rPr>
                <w:color w:val="auto"/>
                <w:szCs w:val="21"/>
              </w:rPr>
            </w:pPr>
            <w:r>
              <w:rPr>
                <w:rFonts w:hint="eastAsia"/>
                <w:color w:val="auto"/>
                <w:szCs w:val="21"/>
              </w:rPr>
              <w:t>3.1</w:t>
            </w:r>
          </w:p>
        </w:tc>
        <w:tc>
          <w:tcPr>
            <w:tcW w:w="2125" w:type="dxa"/>
            <w:vAlign w:val="center"/>
          </w:tcPr>
          <w:p w14:paraId="319B5905">
            <w:pPr>
              <w:pStyle w:val="23"/>
              <w:spacing w:line="440" w:lineRule="exact"/>
              <w:jc w:val="left"/>
              <w:rPr>
                <w:color w:val="auto"/>
                <w:szCs w:val="21"/>
              </w:rPr>
            </w:pPr>
            <w:r>
              <w:rPr>
                <w:rFonts w:hint="eastAsia"/>
                <w:color w:val="auto"/>
                <w:szCs w:val="21"/>
              </w:rPr>
              <w:t>标包划分</w:t>
            </w:r>
          </w:p>
        </w:tc>
        <w:tc>
          <w:tcPr>
            <w:tcW w:w="7150" w:type="dxa"/>
            <w:vAlign w:val="center"/>
          </w:tcPr>
          <w:p w14:paraId="3A4C924E">
            <w:pPr>
              <w:pStyle w:val="23"/>
              <w:spacing w:line="440" w:lineRule="exact"/>
              <w:jc w:val="left"/>
              <w:rPr>
                <w:rFonts w:hAnsi="宋体" w:cs="宋体-18030"/>
                <w:color w:val="auto"/>
                <w:szCs w:val="21"/>
              </w:rPr>
            </w:pPr>
            <w:r>
              <w:rPr>
                <w:rFonts w:hint="eastAsia"/>
                <w:color w:val="auto"/>
                <w:szCs w:val="21"/>
              </w:rPr>
              <w:t>本项目划分为</w:t>
            </w:r>
            <w:r>
              <w:rPr>
                <w:rFonts w:hint="eastAsia"/>
                <w:color w:val="auto"/>
                <w:szCs w:val="21"/>
                <w:u w:val="single"/>
              </w:rPr>
              <w:t>1</w:t>
            </w:r>
            <w:r>
              <w:rPr>
                <w:rFonts w:hint="eastAsia"/>
                <w:color w:val="auto"/>
                <w:szCs w:val="21"/>
              </w:rPr>
              <w:t>个标包</w:t>
            </w:r>
          </w:p>
        </w:tc>
      </w:tr>
      <w:tr w14:paraId="66AE1D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975" w:type="dxa"/>
            <w:vAlign w:val="center"/>
          </w:tcPr>
          <w:p w14:paraId="17DE1D33">
            <w:pPr>
              <w:pStyle w:val="23"/>
              <w:spacing w:line="440" w:lineRule="exact"/>
              <w:jc w:val="left"/>
              <w:rPr>
                <w:color w:val="auto"/>
                <w:szCs w:val="21"/>
              </w:rPr>
            </w:pPr>
            <w:r>
              <w:rPr>
                <w:rFonts w:hint="eastAsia"/>
                <w:color w:val="auto"/>
                <w:szCs w:val="21"/>
              </w:rPr>
              <w:t>4.1</w:t>
            </w:r>
          </w:p>
        </w:tc>
        <w:tc>
          <w:tcPr>
            <w:tcW w:w="2125" w:type="dxa"/>
            <w:vAlign w:val="center"/>
          </w:tcPr>
          <w:p w14:paraId="38D84573">
            <w:pPr>
              <w:pStyle w:val="23"/>
              <w:spacing w:line="440" w:lineRule="exact"/>
              <w:jc w:val="left"/>
              <w:rPr>
                <w:color w:val="auto"/>
                <w:szCs w:val="21"/>
              </w:rPr>
            </w:pPr>
            <w:r>
              <w:rPr>
                <w:rFonts w:hint="eastAsia"/>
                <w:color w:val="auto"/>
                <w:szCs w:val="21"/>
              </w:rPr>
              <w:t>招标方式</w:t>
            </w:r>
          </w:p>
        </w:tc>
        <w:tc>
          <w:tcPr>
            <w:tcW w:w="7150" w:type="dxa"/>
            <w:vAlign w:val="center"/>
          </w:tcPr>
          <w:p w14:paraId="1EC5BD7A">
            <w:pPr>
              <w:pStyle w:val="23"/>
              <w:spacing w:line="440" w:lineRule="exact"/>
              <w:jc w:val="left"/>
              <w:rPr>
                <w:color w:val="auto"/>
                <w:szCs w:val="21"/>
              </w:rPr>
            </w:pPr>
            <w:r>
              <w:rPr>
                <w:rFonts w:hint="eastAsia" w:ascii="幼圆" w:hAnsi="宋体-18030" w:cs="宋体-18030"/>
                <w:color w:val="auto"/>
                <w:szCs w:val="21"/>
              </w:rPr>
              <w:t>公开</w:t>
            </w:r>
            <w:r>
              <w:rPr>
                <w:rFonts w:hint="eastAsia"/>
                <w:color w:val="auto"/>
                <w:szCs w:val="21"/>
              </w:rPr>
              <w:t>招标</w:t>
            </w:r>
          </w:p>
        </w:tc>
      </w:tr>
      <w:tr w14:paraId="7AB620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trPr>
        <w:tc>
          <w:tcPr>
            <w:tcW w:w="975" w:type="dxa"/>
            <w:vAlign w:val="center"/>
          </w:tcPr>
          <w:p w14:paraId="617F9E8F">
            <w:pPr>
              <w:pStyle w:val="23"/>
              <w:spacing w:line="440" w:lineRule="exact"/>
              <w:jc w:val="left"/>
              <w:rPr>
                <w:color w:val="auto"/>
                <w:szCs w:val="21"/>
              </w:rPr>
            </w:pPr>
            <w:r>
              <w:rPr>
                <w:rFonts w:hint="eastAsia"/>
                <w:color w:val="auto"/>
                <w:szCs w:val="21"/>
              </w:rPr>
              <w:t>7</w:t>
            </w:r>
          </w:p>
        </w:tc>
        <w:tc>
          <w:tcPr>
            <w:tcW w:w="2125" w:type="dxa"/>
            <w:vAlign w:val="center"/>
          </w:tcPr>
          <w:p w14:paraId="49F85AD7">
            <w:pPr>
              <w:pStyle w:val="23"/>
              <w:spacing w:line="440" w:lineRule="exact"/>
              <w:jc w:val="left"/>
              <w:rPr>
                <w:color w:val="auto"/>
                <w:szCs w:val="21"/>
              </w:rPr>
            </w:pPr>
            <w:r>
              <w:rPr>
                <w:rFonts w:hint="eastAsia"/>
                <w:color w:val="auto"/>
                <w:szCs w:val="21"/>
              </w:rPr>
              <w:t>投标人资格条件及其他要求</w:t>
            </w:r>
          </w:p>
        </w:tc>
        <w:tc>
          <w:tcPr>
            <w:tcW w:w="7150" w:type="dxa"/>
            <w:vAlign w:val="center"/>
          </w:tcPr>
          <w:p w14:paraId="5FEE1035">
            <w:pPr>
              <w:spacing w:line="440" w:lineRule="exact"/>
              <w:jc w:val="left"/>
              <w:rPr>
                <w:rFonts w:ascii="ˎ̥" w:hAnsi="ˎ̥"/>
                <w:color w:val="auto"/>
              </w:rPr>
            </w:pPr>
            <w:r>
              <w:rPr>
                <w:rFonts w:hint="eastAsia" w:ascii="ˎ̥" w:hAnsi="ˎ̥"/>
                <w:color w:val="auto"/>
              </w:rPr>
              <w:t>详见第一章“招标公告”</w:t>
            </w:r>
          </w:p>
        </w:tc>
      </w:tr>
      <w:tr w14:paraId="73E4D7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975" w:type="dxa"/>
            <w:vAlign w:val="center"/>
          </w:tcPr>
          <w:p w14:paraId="245631F3">
            <w:pPr>
              <w:pStyle w:val="23"/>
              <w:spacing w:line="440" w:lineRule="exact"/>
              <w:jc w:val="left"/>
              <w:rPr>
                <w:color w:val="auto"/>
                <w:szCs w:val="21"/>
              </w:rPr>
            </w:pPr>
            <w:r>
              <w:rPr>
                <w:rFonts w:hint="eastAsia"/>
                <w:color w:val="auto"/>
                <w:szCs w:val="21"/>
              </w:rPr>
              <w:t>9.1</w:t>
            </w:r>
          </w:p>
        </w:tc>
        <w:tc>
          <w:tcPr>
            <w:tcW w:w="2125" w:type="dxa"/>
            <w:vAlign w:val="center"/>
          </w:tcPr>
          <w:p w14:paraId="041B4751">
            <w:pPr>
              <w:pStyle w:val="23"/>
              <w:spacing w:line="440" w:lineRule="exact"/>
              <w:jc w:val="left"/>
              <w:rPr>
                <w:color w:val="auto"/>
                <w:szCs w:val="21"/>
              </w:rPr>
            </w:pPr>
            <w:r>
              <w:rPr>
                <w:rFonts w:hint="eastAsia"/>
                <w:color w:val="auto"/>
                <w:szCs w:val="21"/>
              </w:rPr>
              <w:t>踏勘现场</w:t>
            </w:r>
          </w:p>
        </w:tc>
        <w:tc>
          <w:tcPr>
            <w:tcW w:w="7150" w:type="dxa"/>
            <w:vAlign w:val="center"/>
          </w:tcPr>
          <w:p w14:paraId="1FAF125F">
            <w:pPr>
              <w:pStyle w:val="23"/>
              <w:spacing w:line="440" w:lineRule="exact"/>
              <w:jc w:val="left"/>
              <w:rPr>
                <w:color w:val="auto"/>
                <w:szCs w:val="21"/>
              </w:rPr>
            </w:pPr>
            <w:r>
              <w:rPr>
                <w:rFonts w:hint="eastAsia"/>
                <w:color w:val="auto"/>
                <w:szCs w:val="21"/>
              </w:rPr>
              <w:t>不组织，投标人自行踏勘现场</w:t>
            </w:r>
          </w:p>
        </w:tc>
      </w:tr>
      <w:tr w14:paraId="7AA5C5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975" w:type="dxa"/>
            <w:vAlign w:val="center"/>
          </w:tcPr>
          <w:p w14:paraId="62757999">
            <w:pPr>
              <w:pStyle w:val="23"/>
              <w:spacing w:line="440" w:lineRule="exact"/>
              <w:jc w:val="left"/>
              <w:rPr>
                <w:color w:val="auto"/>
                <w:szCs w:val="21"/>
              </w:rPr>
            </w:pPr>
            <w:r>
              <w:rPr>
                <w:rFonts w:hint="eastAsia"/>
                <w:color w:val="auto"/>
                <w:szCs w:val="21"/>
              </w:rPr>
              <w:t>10.1</w:t>
            </w:r>
          </w:p>
        </w:tc>
        <w:tc>
          <w:tcPr>
            <w:tcW w:w="2125" w:type="dxa"/>
            <w:vAlign w:val="center"/>
          </w:tcPr>
          <w:p w14:paraId="4596BB94">
            <w:pPr>
              <w:pStyle w:val="23"/>
              <w:spacing w:line="440" w:lineRule="exact"/>
              <w:jc w:val="left"/>
              <w:rPr>
                <w:color w:val="auto"/>
                <w:szCs w:val="21"/>
              </w:rPr>
            </w:pPr>
            <w:r>
              <w:rPr>
                <w:rFonts w:hint="eastAsia"/>
                <w:color w:val="auto"/>
                <w:szCs w:val="21"/>
              </w:rPr>
              <w:t>投标预备会</w:t>
            </w:r>
          </w:p>
        </w:tc>
        <w:tc>
          <w:tcPr>
            <w:tcW w:w="7150" w:type="dxa"/>
            <w:vAlign w:val="center"/>
          </w:tcPr>
          <w:p w14:paraId="533F27BD">
            <w:pPr>
              <w:pStyle w:val="23"/>
              <w:spacing w:line="440" w:lineRule="exact"/>
              <w:jc w:val="left"/>
              <w:rPr>
                <w:color w:val="auto"/>
                <w:szCs w:val="21"/>
              </w:rPr>
            </w:pPr>
            <w:r>
              <w:rPr>
                <w:rFonts w:hint="eastAsia"/>
                <w:color w:val="auto"/>
                <w:szCs w:val="21"/>
              </w:rPr>
              <w:t>不召开</w:t>
            </w:r>
          </w:p>
        </w:tc>
      </w:tr>
      <w:tr w14:paraId="3BA3BB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975" w:type="dxa"/>
            <w:vAlign w:val="center"/>
          </w:tcPr>
          <w:p w14:paraId="347C0AC3">
            <w:pPr>
              <w:pStyle w:val="23"/>
              <w:spacing w:line="440" w:lineRule="exact"/>
              <w:jc w:val="left"/>
              <w:rPr>
                <w:color w:val="auto"/>
                <w:szCs w:val="21"/>
              </w:rPr>
            </w:pPr>
            <w:r>
              <w:rPr>
                <w:rFonts w:hint="eastAsia"/>
                <w:color w:val="auto"/>
                <w:szCs w:val="21"/>
              </w:rPr>
              <w:t>11.1</w:t>
            </w:r>
          </w:p>
        </w:tc>
        <w:tc>
          <w:tcPr>
            <w:tcW w:w="2125" w:type="dxa"/>
            <w:vAlign w:val="center"/>
          </w:tcPr>
          <w:p w14:paraId="22BB45C0">
            <w:pPr>
              <w:pStyle w:val="23"/>
              <w:spacing w:line="440" w:lineRule="exact"/>
              <w:jc w:val="left"/>
              <w:rPr>
                <w:color w:val="auto"/>
                <w:szCs w:val="21"/>
              </w:rPr>
            </w:pPr>
            <w:r>
              <w:rPr>
                <w:rFonts w:hint="eastAsia"/>
                <w:color w:val="auto"/>
                <w:szCs w:val="21"/>
              </w:rPr>
              <w:t>联合体投标</w:t>
            </w:r>
          </w:p>
        </w:tc>
        <w:tc>
          <w:tcPr>
            <w:tcW w:w="7150" w:type="dxa"/>
            <w:vAlign w:val="center"/>
          </w:tcPr>
          <w:p w14:paraId="4DD6CA7F">
            <w:pPr>
              <w:pStyle w:val="23"/>
              <w:spacing w:line="440" w:lineRule="exact"/>
              <w:jc w:val="left"/>
              <w:rPr>
                <w:color w:val="auto"/>
                <w:szCs w:val="21"/>
              </w:rPr>
            </w:pPr>
            <w:r>
              <w:rPr>
                <w:rFonts w:hint="eastAsia" w:ascii="ˎ̥" w:hAnsi="ˎ̥"/>
                <w:color w:val="auto"/>
              </w:rPr>
              <w:t>详见第一章“招标公告”</w:t>
            </w:r>
          </w:p>
        </w:tc>
      </w:tr>
      <w:tr w14:paraId="410F28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975" w:type="dxa"/>
            <w:vAlign w:val="center"/>
          </w:tcPr>
          <w:p w14:paraId="7490E7F6">
            <w:pPr>
              <w:pStyle w:val="23"/>
              <w:spacing w:line="440" w:lineRule="exact"/>
              <w:jc w:val="left"/>
              <w:rPr>
                <w:color w:val="auto"/>
                <w:szCs w:val="21"/>
              </w:rPr>
            </w:pPr>
            <w:r>
              <w:rPr>
                <w:rFonts w:hint="eastAsia"/>
                <w:color w:val="auto"/>
                <w:szCs w:val="21"/>
              </w:rPr>
              <w:t>11.6</w:t>
            </w:r>
          </w:p>
        </w:tc>
        <w:tc>
          <w:tcPr>
            <w:tcW w:w="2125" w:type="dxa"/>
            <w:vAlign w:val="center"/>
          </w:tcPr>
          <w:p w14:paraId="0F8A9BFD">
            <w:pPr>
              <w:pStyle w:val="23"/>
              <w:spacing w:line="440" w:lineRule="exact"/>
              <w:jc w:val="left"/>
              <w:rPr>
                <w:color w:val="auto"/>
                <w:szCs w:val="21"/>
              </w:rPr>
            </w:pPr>
            <w:r>
              <w:rPr>
                <w:rFonts w:hint="eastAsia" w:hAnsi="宋体"/>
                <w:color w:val="auto"/>
                <w:szCs w:val="21"/>
              </w:rPr>
              <w:t>合同分包（非专门面向中小企业采购项目适用）</w:t>
            </w:r>
          </w:p>
        </w:tc>
        <w:tc>
          <w:tcPr>
            <w:tcW w:w="7150" w:type="dxa"/>
            <w:vAlign w:val="center"/>
          </w:tcPr>
          <w:p w14:paraId="62C9F00D">
            <w:pPr>
              <w:pStyle w:val="23"/>
              <w:spacing w:line="440" w:lineRule="exact"/>
              <w:jc w:val="left"/>
              <w:rPr>
                <w:color w:val="auto"/>
              </w:rPr>
            </w:pPr>
            <w:r>
              <w:rPr>
                <w:rFonts w:hint="eastAsia"/>
                <w:color w:val="auto"/>
              </w:rPr>
              <w:t xml:space="preserve">□是 ☑否 </w:t>
            </w:r>
            <w:r>
              <w:rPr>
                <w:rFonts w:hint="eastAsia" w:hAnsi="Calibri"/>
                <w:color w:val="auto"/>
                <w:szCs w:val="21"/>
              </w:rPr>
              <w:t>允许大中型企业向一家或者多家小微企业分包。</w:t>
            </w:r>
          </w:p>
        </w:tc>
      </w:tr>
      <w:tr w14:paraId="5E6452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975" w:type="dxa"/>
            <w:vAlign w:val="center"/>
          </w:tcPr>
          <w:p w14:paraId="2B74EF65">
            <w:pPr>
              <w:spacing w:line="440" w:lineRule="exact"/>
              <w:jc w:val="left"/>
              <w:rPr>
                <w:rFonts w:ascii="宋体" w:cs="宋体"/>
                <w:color w:val="auto"/>
                <w:szCs w:val="21"/>
              </w:rPr>
            </w:pPr>
            <w:r>
              <w:rPr>
                <w:rFonts w:hint="eastAsia" w:ascii="宋体" w:cs="宋体"/>
                <w:color w:val="auto"/>
                <w:szCs w:val="21"/>
              </w:rPr>
              <w:t>12.1</w:t>
            </w:r>
          </w:p>
        </w:tc>
        <w:tc>
          <w:tcPr>
            <w:tcW w:w="2125" w:type="dxa"/>
            <w:vAlign w:val="center"/>
          </w:tcPr>
          <w:p w14:paraId="2F7B0F0A">
            <w:pPr>
              <w:spacing w:line="440" w:lineRule="exact"/>
              <w:jc w:val="left"/>
              <w:rPr>
                <w:rFonts w:ascii="宋体"/>
                <w:color w:val="auto"/>
                <w:szCs w:val="21"/>
              </w:rPr>
            </w:pPr>
            <w:r>
              <w:rPr>
                <w:rFonts w:hint="eastAsia" w:ascii="宋体"/>
                <w:color w:val="auto"/>
                <w:szCs w:val="21"/>
              </w:rPr>
              <w:t>招标代理费</w:t>
            </w:r>
          </w:p>
        </w:tc>
        <w:tc>
          <w:tcPr>
            <w:tcW w:w="7150" w:type="dxa"/>
            <w:vAlign w:val="center"/>
          </w:tcPr>
          <w:p w14:paraId="43169F78">
            <w:pPr>
              <w:spacing w:line="440" w:lineRule="exact"/>
              <w:jc w:val="left"/>
              <w:rPr>
                <w:rFonts w:ascii="宋体" w:hAnsi="宋体" w:cs="宋体"/>
                <w:color w:val="auto"/>
                <w:szCs w:val="21"/>
              </w:rPr>
            </w:pPr>
            <w:r>
              <w:rPr>
                <w:rFonts w:hint="eastAsia" w:ascii="宋体" w:hAnsi="宋体" w:cs="宋体"/>
                <w:color w:val="auto"/>
                <w:szCs w:val="21"/>
              </w:rPr>
              <w:t>代理服务费金额：3500元；</w:t>
            </w:r>
          </w:p>
          <w:p w14:paraId="3B601479">
            <w:pPr>
              <w:spacing w:line="440" w:lineRule="exact"/>
              <w:jc w:val="left"/>
              <w:rPr>
                <w:rFonts w:ascii="宋体" w:hAnsi="宋体"/>
                <w:color w:val="auto"/>
                <w:szCs w:val="21"/>
              </w:rPr>
            </w:pPr>
            <w:r>
              <w:rPr>
                <w:rFonts w:hint="eastAsia" w:ascii="宋体" w:hAnsi="宋体" w:cs="宋体"/>
                <w:color w:val="auto"/>
                <w:szCs w:val="21"/>
              </w:rPr>
              <w:t>代理服务费支付主体：由</w:t>
            </w:r>
            <w:r>
              <w:rPr>
                <w:rFonts w:hint="eastAsia" w:ascii="宋体" w:hAnsi="宋体" w:cs="宋体"/>
                <w:color w:val="auto"/>
                <w:kern w:val="2"/>
                <w:szCs w:val="21"/>
              </w:rPr>
              <w:t>中标单位在领取中标通知书时支付给代理公司</w:t>
            </w:r>
            <w:r>
              <w:rPr>
                <w:rFonts w:hint="eastAsia" w:ascii="宋体" w:hAnsi="宋体" w:cs="宋体"/>
                <w:color w:val="auto"/>
                <w:szCs w:val="21"/>
              </w:rPr>
              <w:t>。</w:t>
            </w:r>
          </w:p>
        </w:tc>
      </w:tr>
      <w:tr w14:paraId="75FA94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975" w:type="dxa"/>
            <w:vAlign w:val="center"/>
          </w:tcPr>
          <w:p w14:paraId="2C6253A8">
            <w:pPr>
              <w:spacing w:line="440" w:lineRule="exact"/>
              <w:jc w:val="left"/>
              <w:rPr>
                <w:rFonts w:ascii="宋体" w:cs="宋体"/>
                <w:color w:val="auto"/>
                <w:szCs w:val="21"/>
              </w:rPr>
            </w:pPr>
            <w:r>
              <w:rPr>
                <w:rFonts w:hint="eastAsia" w:ascii="宋体" w:cs="宋体"/>
                <w:color w:val="auto"/>
                <w:szCs w:val="21"/>
              </w:rPr>
              <w:t>12.2</w:t>
            </w:r>
          </w:p>
        </w:tc>
        <w:tc>
          <w:tcPr>
            <w:tcW w:w="2125" w:type="dxa"/>
            <w:vAlign w:val="center"/>
          </w:tcPr>
          <w:p w14:paraId="6E86692B">
            <w:pPr>
              <w:spacing w:line="440" w:lineRule="exact"/>
              <w:jc w:val="left"/>
              <w:rPr>
                <w:rFonts w:ascii="宋体" w:hAnsi="宋体" w:cs="宋体"/>
                <w:color w:val="auto"/>
                <w:szCs w:val="21"/>
              </w:rPr>
            </w:pPr>
            <w:r>
              <w:rPr>
                <w:rFonts w:hint="eastAsia" w:ascii="宋体" w:hAnsi="宋体" w:cs="宋体"/>
                <w:color w:val="auto"/>
                <w:szCs w:val="21"/>
              </w:rPr>
              <w:t>专家评审劳务费</w:t>
            </w:r>
          </w:p>
        </w:tc>
        <w:tc>
          <w:tcPr>
            <w:tcW w:w="7150" w:type="dxa"/>
            <w:vAlign w:val="center"/>
          </w:tcPr>
          <w:p w14:paraId="55888FBB">
            <w:pPr>
              <w:spacing w:line="440" w:lineRule="exact"/>
              <w:jc w:val="left"/>
              <w:rPr>
                <w:color w:val="auto"/>
              </w:rPr>
            </w:pPr>
            <w:r>
              <w:rPr>
                <w:rFonts w:hint="eastAsia" w:ascii="宋体" w:hAnsi="宋体" w:cs="宋体"/>
                <w:color w:val="auto"/>
                <w:szCs w:val="21"/>
              </w:rPr>
              <w:t>费用或支付标准：</w:t>
            </w:r>
            <w:r>
              <w:rPr>
                <w:color w:val="auto"/>
              </w:rPr>
              <w:t xml:space="preserve">按滁州市现行标准支付。 </w:t>
            </w:r>
          </w:p>
          <w:p w14:paraId="36B28D9E">
            <w:pPr>
              <w:spacing w:line="440" w:lineRule="exact"/>
              <w:jc w:val="left"/>
              <w:rPr>
                <w:rFonts w:ascii="宋体" w:hAnsi="宋体" w:cs="宋体"/>
                <w:color w:val="auto"/>
                <w:szCs w:val="21"/>
              </w:rPr>
            </w:pPr>
            <w:r>
              <w:rPr>
                <w:rFonts w:hint="eastAsia" w:ascii="宋体" w:hAnsi="宋体" w:cs="宋体"/>
                <w:color w:val="auto"/>
                <w:szCs w:val="21"/>
              </w:rPr>
              <w:t>支付主体：由</w:t>
            </w:r>
            <w:r>
              <w:rPr>
                <w:rFonts w:hint="eastAsia" w:ascii="宋体" w:hAnsi="宋体" w:cs="宋体"/>
                <w:color w:val="auto"/>
                <w:kern w:val="2"/>
                <w:szCs w:val="21"/>
              </w:rPr>
              <w:t>中标单位在领取中标通知书时支付给代理公司。</w:t>
            </w:r>
          </w:p>
        </w:tc>
      </w:tr>
      <w:tr w14:paraId="4EFA27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975" w:type="dxa"/>
            <w:vAlign w:val="center"/>
          </w:tcPr>
          <w:p w14:paraId="3CA04C52">
            <w:pPr>
              <w:spacing w:line="440" w:lineRule="exact"/>
              <w:jc w:val="left"/>
              <w:rPr>
                <w:rFonts w:ascii="宋体" w:cs="宋体"/>
                <w:color w:val="auto"/>
                <w:szCs w:val="21"/>
              </w:rPr>
            </w:pPr>
            <w:r>
              <w:rPr>
                <w:rFonts w:hint="eastAsia" w:ascii="宋体" w:cs="宋体"/>
                <w:color w:val="auto"/>
                <w:szCs w:val="21"/>
              </w:rPr>
              <w:t>15.4</w:t>
            </w:r>
          </w:p>
        </w:tc>
        <w:tc>
          <w:tcPr>
            <w:tcW w:w="2125" w:type="dxa"/>
            <w:vAlign w:val="center"/>
          </w:tcPr>
          <w:p w14:paraId="186D93AD">
            <w:pPr>
              <w:pStyle w:val="23"/>
              <w:spacing w:line="440" w:lineRule="exact"/>
              <w:jc w:val="left"/>
              <w:rPr>
                <w:color w:val="auto"/>
                <w:szCs w:val="21"/>
              </w:rPr>
            </w:pPr>
            <w:r>
              <w:rPr>
                <w:rFonts w:hint="eastAsia"/>
                <w:color w:val="auto"/>
                <w:szCs w:val="21"/>
              </w:rPr>
              <w:t>采购人澄清的方式</w:t>
            </w:r>
          </w:p>
        </w:tc>
        <w:tc>
          <w:tcPr>
            <w:tcW w:w="7150" w:type="dxa"/>
            <w:vAlign w:val="center"/>
          </w:tcPr>
          <w:p w14:paraId="24EDDAFB">
            <w:pPr>
              <w:spacing w:line="440" w:lineRule="exact"/>
              <w:jc w:val="left"/>
              <w:rPr>
                <w:rFonts w:ascii="宋体"/>
                <w:color w:val="auto"/>
                <w:szCs w:val="21"/>
              </w:rPr>
            </w:pPr>
            <w:r>
              <w:rPr>
                <w:rFonts w:hint="eastAsia"/>
                <w:color w:val="auto"/>
                <w:szCs w:val="21"/>
              </w:rPr>
              <w:t>以更正公告形式在滁州市机电工程学校官网（http://www.cztc.edu.cn/）予以公告</w:t>
            </w:r>
          </w:p>
        </w:tc>
      </w:tr>
      <w:tr w14:paraId="10FB56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975" w:type="dxa"/>
            <w:vAlign w:val="center"/>
          </w:tcPr>
          <w:p w14:paraId="193090B6">
            <w:pPr>
              <w:pStyle w:val="23"/>
              <w:spacing w:line="440" w:lineRule="exact"/>
              <w:jc w:val="left"/>
              <w:rPr>
                <w:color w:val="auto"/>
                <w:szCs w:val="21"/>
              </w:rPr>
            </w:pPr>
            <w:r>
              <w:rPr>
                <w:rFonts w:hint="eastAsia"/>
                <w:color w:val="auto"/>
                <w:szCs w:val="21"/>
              </w:rPr>
              <w:t>21.1</w:t>
            </w:r>
          </w:p>
        </w:tc>
        <w:tc>
          <w:tcPr>
            <w:tcW w:w="2125" w:type="dxa"/>
            <w:vAlign w:val="center"/>
          </w:tcPr>
          <w:p w14:paraId="1AE9848A">
            <w:pPr>
              <w:pStyle w:val="23"/>
              <w:spacing w:line="440" w:lineRule="exact"/>
              <w:jc w:val="left"/>
              <w:rPr>
                <w:color w:val="auto"/>
                <w:szCs w:val="21"/>
              </w:rPr>
            </w:pPr>
            <w:r>
              <w:rPr>
                <w:color w:val="auto"/>
                <w:szCs w:val="21"/>
              </w:rPr>
              <w:t>投标有效期</w:t>
            </w:r>
          </w:p>
        </w:tc>
        <w:tc>
          <w:tcPr>
            <w:tcW w:w="7150" w:type="dxa"/>
            <w:vAlign w:val="center"/>
          </w:tcPr>
          <w:p w14:paraId="243426F0">
            <w:pPr>
              <w:pStyle w:val="23"/>
              <w:spacing w:line="440" w:lineRule="exact"/>
              <w:jc w:val="left"/>
              <w:rPr>
                <w:color w:val="auto"/>
                <w:szCs w:val="21"/>
              </w:rPr>
            </w:pPr>
            <w:r>
              <w:rPr>
                <w:rFonts w:hint="eastAsia"/>
                <w:color w:val="auto"/>
                <w:szCs w:val="21"/>
              </w:rPr>
              <w:t>投标有效期为</w:t>
            </w:r>
            <w:r>
              <w:rPr>
                <w:rFonts w:hint="eastAsia"/>
                <w:color w:val="auto"/>
                <w:szCs w:val="21"/>
                <w:u w:val="single"/>
              </w:rPr>
              <w:t xml:space="preserve">90 </w:t>
            </w:r>
            <w:r>
              <w:rPr>
                <w:rFonts w:hint="eastAsia"/>
                <w:color w:val="auto"/>
                <w:szCs w:val="21"/>
              </w:rPr>
              <w:t>日历天（从投标截止之日算起）。在此期限内，凡符合本招标文件要求的投标文件均保持有效。</w:t>
            </w:r>
          </w:p>
        </w:tc>
      </w:tr>
      <w:tr w14:paraId="77D446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975" w:type="dxa"/>
            <w:vAlign w:val="center"/>
          </w:tcPr>
          <w:p w14:paraId="5647D608">
            <w:pPr>
              <w:spacing w:line="440" w:lineRule="exact"/>
              <w:jc w:val="left"/>
              <w:rPr>
                <w:rFonts w:ascii="宋体" w:cs="宋体"/>
                <w:color w:val="auto"/>
                <w:szCs w:val="21"/>
              </w:rPr>
            </w:pPr>
            <w:r>
              <w:rPr>
                <w:rFonts w:hint="eastAsia" w:ascii="宋体" w:cs="宋体"/>
                <w:color w:val="auto"/>
                <w:szCs w:val="21"/>
              </w:rPr>
              <w:t>22</w:t>
            </w:r>
          </w:p>
        </w:tc>
        <w:tc>
          <w:tcPr>
            <w:tcW w:w="2125" w:type="dxa"/>
            <w:vAlign w:val="center"/>
          </w:tcPr>
          <w:p w14:paraId="7C587F8D">
            <w:pPr>
              <w:spacing w:line="440" w:lineRule="exact"/>
              <w:jc w:val="left"/>
              <w:rPr>
                <w:rFonts w:ascii="宋体"/>
                <w:color w:val="auto"/>
                <w:szCs w:val="21"/>
              </w:rPr>
            </w:pPr>
            <w:r>
              <w:rPr>
                <w:rFonts w:hint="eastAsia" w:ascii="宋体"/>
                <w:color w:val="auto"/>
                <w:szCs w:val="21"/>
              </w:rPr>
              <w:t>投标保证金</w:t>
            </w:r>
          </w:p>
        </w:tc>
        <w:tc>
          <w:tcPr>
            <w:tcW w:w="7150" w:type="dxa"/>
          </w:tcPr>
          <w:p w14:paraId="681A29C8">
            <w:pPr>
              <w:shd w:val="clear" w:color="auto" w:fill="FFFFFF"/>
              <w:spacing w:line="440" w:lineRule="exact"/>
              <w:jc w:val="left"/>
              <w:rPr>
                <w:rFonts w:ascii="宋体"/>
                <w:color w:val="auto"/>
                <w:szCs w:val="21"/>
              </w:rPr>
            </w:pPr>
            <w:r>
              <w:rPr>
                <w:rFonts w:hint="eastAsia" w:ascii="宋体" w:hAnsi="宋体"/>
                <w:color w:val="auto"/>
                <w:szCs w:val="21"/>
              </w:rPr>
              <w:t>不收取</w:t>
            </w:r>
          </w:p>
        </w:tc>
      </w:tr>
      <w:tr w14:paraId="71A48B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975" w:type="dxa"/>
            <w:vAlign w:val="center"/>
          </w:tcPr>
          <w:p w14:paraId="77EC2E38">
            <w:pPr>
              <w:pStyle w:val="23"/>
              <w:spacing w:line="440" w:lineRule="exact"/>
              <w:jc w:val="left"/>
              <w:rPr>
                <w:color w:val="auto"/>
                <w:szCs w:val="21"/>
              </w:rPr>
            </w:pPr>
            <w:r>
              <w:rPr>
                <w:rFonts w:hint="eastAsia"/>
                <w:color w:val="auto"/>
                <w:szCs w:val="21"/>
              </w:rPr>
              <w:t>23.1</w:t>
            </w:r>
          </w:p>
        </w:tc>
        <w:tc>
          <w:tcPr>
            <w:tcW w:w="2125" w:type="dxa"/>
            <w:vAlign w:val="center"/>
          </w:tcPr>
          <w:p w14:paraId="3E4A5FF4">
            <w:pPr>
              <w:pStyle w:val="23"/>
              <w:spacing w:line="440" w:lineRule="exact"/>
              <w:jc w:val="left"/>
              <w:rPr>
                <w:color w:val="auto"/>
                <w:szCs w:val="21"/>
              </w:rPr>
            </w:pPr>
            <w:r>
              <w:rPr>
                <w:rFonts w:hint="eastAsia"/>
                <w:color w:val="auto"/>
                <w:szCs w:val="21"/>
              </w:rPr>
              <w:t>投标文件数量</w:t>
            </w:r>
          </w:p>
        </w:tc>
        <w:tc>
          <w:tcPr>
            <w:tcW w:w="7150" w:type="dxa"/>
            <w:vAlign w:val="center"/>
          </w:tcPr>
          <w:p w14:paraId="16349D53">
            <w:pPr>
              <w:spacing w:line="440" w:lineRule="exact"/>
              <w:jc w:val="left"/>
              <w:rPr>
                <w:color w:val="auto"/>
                <w:szCs w:val="21"/>
              </w:rPr>
            </w:pPr>
            <w:r>
              <w:rPr>
                <w:rFonts w:hint="eastAsia" w:ascii="宋体" w:hAnsi="宋体" w:cs="宋体"/>
                <w:bCs/>
                <w:color w:val="auto"/>
                <w:szCs w:val="21"/>
              </w:rPr>
              <w:t>投标人递交纸质版投标文件，并按要求加盖公章；份数：正本1份，副本2份。</w:t>
            </w:r>
          </w:p>
        </w:tc>
      </w:tr>
      <w:tr w14:paraId="10F771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975" w:type="dxa"/>
            <w:vAlign w:val="center"/>
          </w:tcPr>
          <w:p w14:paraId="17B1FF17">
            <w:pPr>
              <w:spacing w:line="440" w:lineRule="exact"/>
              <w:jc w:val="left"/>
              <w:rPr>
                <w:rFonts w:ascii="宋体" w:cs="宋体"/>
                <w:color w:val="auto"/>
                <w:szCs w:val="21"/>
              </w:rPr>
            </w:pPr>
            <w:r>
              <w:rPr>
                <w:rFonts w:hint="eastAsia" w:ascii="宋体" w:cs="宋体"/>
                <w:color w:val="auto"/>
                <w:szCs w:val="21"/>
              </w:rPr>
              <w:t>23.2</w:t>
            </w:r>
          </w:p>
        </w:tc>
        <w:tc>
          <w:tcPr>
            <w:tcW w:w="2125" w:type="dxa"/>
            <w:vAlign w:val="center"/>
          </w:tcPr>
          <w:p w14:paraId="11320A4F">
            <w:pPr>
              <w:spacing w:line="440" w:lineRule="exact"/>
              <w:jc w:val="left"/>
              <w:rPr>
                <w:rFonts w:ascii="宋体"/>
                <w:color w:val="auto"/>
                <w:szCs w:val="21"/>
              </w:rPr>
            </w:pPr>
            <w:r>
              <w:rPr>
                <w:rFonts w:hint="eastAsia" w:ascii="宋体"/>
                <w:color w:val="auto"/>
                <w:szCs w:val="21"/>
              </w:rPr>
              <w:t>签字或盖章要求</w:t>
            </w:r>
          </w:p>
        </w:tc>
        <w:tc>
          <w:tcPr>
            <w:tcW w:w="7150" w:type="dxa"/>
            <w:vAlign w:val="center"/>
          </w:tcPr>
          <w:p w14:paraId="499DD6A3">
            <w:pPr>
              <w:spacing w:line="440" w:lineRule="exact"/>
              <w:jc w:val="left"/>
              <w:rPr>
                <w:rFonts w:ascii="宋体"/>
                <w:color w:val="auto"/>
                <w:szCs w:val="21"/>
              </w:rPr>
            </w:pPr>
            <w:r>
              <w:rPr>
                <w:rFonts w:hint="eastAsia" w:ascii="宋体" w:hAnsi="宋体" w:cs="宋体"/>
                <w:bCs/>
                <w:color w:val="auto"/>
                <w:szCs w:val="21"/>
              </w:rPr>
              <w:t>投标文件须按格式文件要求签字或盖章，否则经评委会一致认定后，按照无效投标处理。</w:t>
            </w:r>
          </w:p>
        </w:tc>
      </w:tr>
      <w:tr w14:paraId="201906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63" w:hRule="atLeast"/>
        </w:trPr>
        <w:tc>
          <w:tcPr>
            <w:tcW w:w="975" w:type="dxa"/>
            <w:vAlign w:val="center"/>
          </w:tcPr>
          <w:p w14:paraId="7902A0F6">
            <w:pPr>
              <w:spacing w:line="440" w:lineRule="exact"/>
              <w:jc w:val="left"/>
              <w:rPr>
                <w:rFonts w:ascii="宋体" w:cs="宋体"/>
                <w:color w:val="auto"/>
                <w:szCs w:val="21"/>
              </w:rPr>
            </w:pPr>
            <w:r>
              <w:rPr>
                <w:rFonts w:hint="eastAsia" w:ascii="宋体" w:cs="宋体"/>
                <w:color w:val="auto"/>
                <w:szCs w:val="21"/>
              </w:rPr>
              <w:t>24.1</w:t>
            </w:r>
          </w:p>
        </w:tc>
        <w:tc>
          <w:tcPr>
            <w:tcW w:w="2125" w:type="dxa"/>
            <w:vAlign w:val="center"/>
          </w:tcPr>
          <w:p w14:paraId="6E9411D4">
            <w:pPr>
              <w:spacing w:line="440" w:lineRule="exact"/>
              <w:jc w:val="left"/>
              <w:rPr>
                <w:rFonts w:ascii="宋体"/>
                <w:color w:val="auto"/>
                <w:szCs w:val="21"/>
              </w:rPr>
            </w:pPr>
            <w:r>
              <w:rPr>
                <w:rFonts w:hint="eastAsia" w:ascii="宋体"/>
                <w:color w:val="auto"/>
                <w:szCs w:val="21"/>
              </w:rPr>
              <w:t>投标文件提交截止时间</w:t>
            </w:r>
          </w:p>
        </w:tc>
        <w:tc>
          <w:tcPr>
            <w:tcW w:w="7150" w:type="dxa"/>
            <w:vAlign w:val="center"/>
          </w:tcPr>
          <w:p w14:paraId="69BA32FC">
            <w:pPr>
              <w:spacing w:line="440" w:lineRule="exact"/>
              <w:jc w:val="left"/>
              <w:rPr>
                <w:rFonts w:ascii="宋体"/>
                <w:color w:val="auto"/>
                <w:szCs w:val="21"/>
              </w:rPr>
            </w:pPr>
            <w:r>
              <w:rPr>
                <w:rFonts w:hint="eastAsia" w:ascii="宋体"/>
                <w:color w:val="auto"/>
                <w:szCs w:val="21"/>
              </w:rPr>
              <w:t>递交投标文件截止时间：</w:t>
            </w:r>
            <w:r>
              <w:rPr>
                <w:rFonts w:hint="eastAsia" w:ascii="宋体"/>
                <w:b/>
                <w:bCs/>
                <w:color w:val="auto"/>
                <w:szCs w:val="21"/>
              </w:rPr>
              <w:t>2024年0</w:t>
            </w:r>
            <w:r>
              <w:rPr>
                <w:rFonts w:hint="eastAsia" w:ascii="宋体"/>
                <w:b/>
                <w:bCs/>
                <w:color w:val="auto"/>
                <w:szCs w:val="21"/>
                <w:lang w:val="en-US" w:eastAsia="zh-CN"/>
              </w:rPr>
              <w:t>9</w:t>
            </w:r>
            <w:r>
              <w:rPr>
                <w:rFonts w:hint="eastAsia" w:ascii="宋体"/>
                <w:b/>
                <w:bCs/>
                <w:color w:val="auto"/>
                <w:szCs w:val="21"/>
              </w:rPr>
              <w:t>月</w:t>
            </w:r>
            <w:r>
              <w:rPr>
                <w:rFonts w:hint="eastAsia" w:ascii="宋体"/>
                <w:b/>
                <w:bCs/>
                <w:color w:val="auto"/>
                <w:szCs w:val="21"/>
                <w:lang w:val="en-US" w:eastAsia="zh-CN"/>
              </w:rPr>
              <w:t>11</w:t>
            </w:r>
            <w:r>
              <w:rPr>
                <w:rFonts w:hint="eastAsia" w:ascii="宋体"/>
                <w:b/>
                <w:bCs/>
                <w:color w:val="auto"/>
                <w:szCs w:val="21"/>
              </w:rPr>
              <w:t>日15时00分（北京时间）</w:t>
            </w:r>
          </w:p>
          <w:p w14:paraId="45980B90">
            <w:pPr>
              <w:spacing w:line="440" w:lineRule="exact"/>
              <w:jc w:val="left"/>
              <w:rPr>
                <w:rFonts w:ascii="宋体"/>
                <w:color w:val="auto"/>
                <w:szCs w:val="21"/>
              </w:rPr>
            </w:pPr>
            <w:r>
              <w:rPr>
                <w:rFonts w:hint="eastAsia" w:ascii="宋体"/>
                <w:b/>
                <w:color w:val="auto"/>
                <w:szCs w:val="21"/>
              </w:rPr>
              <w:t>注：以投标人在投标截止时间前递交的投标文件为准，逾期提交的，投标文件将被拒绝。</w:t>
            </w:r>
          </w:p>
        </w:tc>
      </w:tr>
      <w:tr w14:paraId="6DFDEE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trPr>
        <w:tc>
          <w:tcPr>
            <w:tcW w:w="975" w:type="dxa"/>
            <w:vAlign w:val="center"/>
          </w:tcPr>
          <w:p w14:paraId="27843578">
            <w:pPr>
              <w:spacing w:line="440" w:lineRule="exact"/>
              <w:jc w:val="left"/>
              <w:rPr>
                <w:rFonts w:ascii="宋体" w:cs="宋体"/>
                <w:color w:val="auto"/>
                <w:szCs w:val="21"/>
              </w:rPr>
            </w:pPr>
            <w:r>
              <w:rPr>
                <w:rFonts w:hint="eastAsia" w:ascii="宋体" w:cs="宋体"/>
                <w:color w:val="auto"/>
                <w:szCs w:val="21"/>
              </w:rPr>
              <w:t>25.1</w:t>
            </w:r>
          </w:p>
        </w:tc>
        <w:tc>
          <w:tcPr>
            <w:tcW w:w="2125" w:type="dxa"/>
            <w:vAlign w:val="center"/>
          </w:tcPr>
          <w:p w14:paraId="56E1F742">
            <w:pPr>
              <w:spacing w:line="440" w:lineRule="exact"/>
              <w:jc w:val="left"/>
              <w:rPr>
                <w:rFonts w:ascii="宋体"/>
                <w:color w:val="auto"/>
                <w:szCs w:val="21"/>
              </w:rPr>
            </w:pPr>
            <w:r>
              <w:rPr>
                <w:rFonts w:hint="eastAsia" w:ascii="宋体"/>
                <w:color w:val="auto"/>
                <w:szCs w:val="21"/>
              </w:rPr>
              <w:t>是否退还投标文件</w:t>
            </w:r>
          </w:p>
        </w:tc>
        <w:tc>
          <w:tcPr>
            <w:tcW w:w="7150" w:type="dxa"/>
            <w:vAlign w:val="center"/>
          </w:tcPr>
          <w:p w14:paraId="22690BB4">
            <w:pPr>
              <w:spacing w:line="440" w:lineRule="exact"/>
              <w:jc w:val="left"/>
              <w:rPr>
                <w:color w:val="auto"/>
                <w:szCs w:val="21"/>
              </w:rPr>
            </w:pPr>
            <w:r>
              <w:rPr>
                <w:rFonts w:hint="eastAsia"/>
                <w:color w:val="auto"/>
                <w:szCs w:val="21"/>
              </w:rPr>
              <w:t>否</w:t>
            </w:r>
          </w:p>
        </w:tc>
      </w:tr>
      <w:tr w14:paraId="777675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975" w:type="dxa"/>
            <w:vAlign w:val="center"/>
          </w:tcPr>
          <w:p w14:paraId="2B6F8F2E">
            <w:pPr>
              <w:spacing w:line="440" w:lineRule="exact"/>
              <w:jc w:val="left"/>
              <w:rPr>
                <w:rFonts w:ascii="宋体" w:cs="宋体"/>
                <w:color w:val="auto"/>
                <w:szCs w:val="21"/>
              </w:rPr>
            </w:pPr>
            <w:r>
              <w:rPr>
                <w:rFonts w:hint="eastAsia" w:ascii="宋体" w:cs="宋体"/>
                <w:color w:val="auto"/>
                <w:szCs w:val="21"/>
              </w:rPr>
              <w:t>26.1</w:t>
            </w:r>
          </w:p>
        </w:tc>
        <w:tc>
          <w:tcPr>
            <w:tcW w:w="2125" w:type="dxa"/>
            <w:vAlign w:val="center"/>
          </w:tcPr>
          <w:p w14:paraId="40E9C46C">
            <w:pPr>
              <w:spacing w:line="440" w:lineRule="exact"/>
              <w:jc w:val="left"/>
              <w:rPr>
                <w:rFonts w:ascii="宋体"/>
                <w:color w:val="auto"/>
                <w:szCs w:val="21"/>
              </w:rPr>
            </w:pPr>
            <w:r>
              <w:rPr>
                <w:rFonts w:hint="eastAsia" w:ascii="宋体"/>
                <w:color w:val="auto"/>
                <w:szCs w:val="21"/>
              </w:rPr>
              <w:t>开标时间及地点</w:t>
            </w:r>
          </w:p>
        </w:tc>
        <w:tc>
          <w:tcPr>
            <w:tcW w:w="7150" w:type="dxa"/>
            <w:vAlign w:val="center"/>
          </w:tcPr>
          <w:p w14:paraId="5270F891">
            <w:pPr>
              <w:spacing w:line="440" w:lineRule="exact"/>
              <w:jc w:val="left"/>
              <w:rPr>
                <w:rFonts w:ascii="宋体"/>
                <w:color w:val="auto"/>
                <w:szCs w:val="21"/>
              </w:rPr>
            </w:pPr>
            <w:r>
              <w:rPr>
                <w:rFonts w:hint="eastAsia" w:ascii="ˎ̥" w:hAnsi="ˎ̥"/>
                <w:color w:val="auto"/>
              </w:rPr>
              <w:t>详见第一章“招标公告”</w:t>
            </w:r>
          </w:p>
        </w:tc>
      </w:tr>
      <w:tr w14:paraId="1E3A12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975" w:type="dxa"/>
            <w:vAlign w:val="center"/>
          </w:tcPr>
          <w:p w14:paraId="53DAB8B1">
            <w:pPr>
              <w:spacing w:line="440" w:lineRule="exact"/>
              <w:jc w:val="left"/>
              <w:rPr>
                <w:rFonts w:ascii="宋体" w:cs="宋体"/>
                <w:color w:val="auto"/>
                <w:szCs w:val="21"/>
              </w:rPr>
            </w:pPr>
            <w:r>
              <w:rPr>
                <w:rFonts w:hint="eastAsia" w:ascii="宋体" w:cs="宋体"/>
                <w:color w:val="auto"/>
                <w:szCs w:val="21"/>
              </w:rPr>
              <w:t>26.3</w:t>
            </w:r>
          </w:p>
        </w:tc>
        <w:tc>
          <w:tcPr>
            <w:tcW w:w="2125" w:type="dxa"/>
            <w:vAlign w:val="center"/>
          </w:tcPr>
          <w:p w14:paraId="3ED1A2AB">
            <w:pPr>
              <w:spacing w:line="440" w:lineRule="exact"/>
              <w:jc w:val="left"/>
              <w:rPr>
                <w:rFonts w:ascii="宋体"/>
                <w:color w:val="auto"/>
                <w:szCs w:val="21"/>
              </w:rPr>
            </w:pPr>
            <w:r>
              <w:rPr>
                <w:rFonts w:hint="eastAsia" w:ascii="宋体"/>
                <w:color w:val="auto"/>
                <w:szCs w:val="21"/>
              </w:rPr>
              <w:t>开标程序</w:t>
            </w:r>
          </w:p>
        </w:tc>
        <w:tc>
          <w:tcPr>
            <w:tcW w:w="7150" w:type="dxa"/>
            <w:vAlign w:val="center"/>
          </w:tcPr>
          <w:p w14:paraId="343719C7">
            <w:pPr>
              <w:spacing w:line="440" w:lineRule="exact"/>
              <w:jc w:val="left"/>
              <w:rPr>
                <w:color w:val="auto"/>
                <w:szCs w:val="21"/>
              </w:rPr>
            </w:pPr>
            <w:r>
              <w:rPr>
                <w:rFonts w:hint="eastAsia"/>
                <w:color w:val="auto"/>
                <w:szCs w:val="21"/>
              </w:rPr>
              <w:t>开标顺序：递交投标文件后，先资格标、后技术标再商务标，由评标委员会评审。</w:t>
            </w:r>
          </w:p>
        </w:tc>
      </w:tr>
      <w:tr w14:paraId="6E0F25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trPr>
        <w:tc>
          <w:tcPr>
            <w:tcW w:w="975" w:type="dxa"/>
            <w:vAlign w:val="center"/>
          </w:tcPr>
          <w:p w14:paraId="727A85E1">
            <w:pPr>
              <w:pStyle w:val="23"/>
              <w:spacing w:line="440" w:lineRule="exact"/>
              <w:jc w:val="left"/>
              <w:rPr>
                <w:color w:val="auto"/>
                <w:szCs w:val="21"/>
              </w:rPr>
            </w:pPr>
            <w:r>
              <w:rPr>
                <w:rFonts w:hint="eastAsia"/>
                <w:color w:val="auto"/>
                <w:szCs w:val="21"/>
              </w:rPr>
              <w:t>27.1</w:t>
            </w:r>
          </w:p>
        </w:tc>
        <w:tc>
          <w:tcPr>
            <w:tcW w:w="2125" w:type="dxa"/>
            <w:vAlign w:val="center"/>
          </w:tcPr>
          <w:p w14:paraId="792C62D5">
            <w:pPr>
              <w:pStyle w:val="23"/>
              <w:spacing w:line="440" w:lineRule="exact"/>
              <w:jc w:val="left"/>
              <w:rPr>
                <w:rFonts w:ascii="Times New Roman" w:hAnsi="Times New Roman"/>
                <w:color w:val="auto"/>
                <w:kern w:val="0"/>
                <w:szCs w:val="21"/>
              </w:rPr>
            </w:pPr>
            <w:r>
              <w:rPr>
                <w:rFonts w:hint="eastAsia" w:ascii="Times New Roman" w:hAnsi="Times New Roman"/>
                <w:color w:val="auto"/>
                <w:kern w:val="0"/>
                <w:szCs w:val="21"/>
              </w:rPr>
              <w:t>评标委员会的组建</w:t>
            </w:r>
          </w:p>
        </w:tc>
        <w:tc>
          <w:tcPr>
            <w:tcW w:w="7150" w:type="dxa"/>
          </w:tcPr>
          <w:p w14:paraId="5B37B667">
            <w:pPr>
              <w:pStyle w:val="23"/>
              <w:spacing w:line="440" w:lineRule="exact"/>
              <w:rPr>
                <w:rFonts w:ascii="Times New Roman" w:hAnsi="Times New Roman"/>
                <w:color w:val="auto"/>
                <w:kern w:val="0"/>
                <w:szCs w:val="21"/>
              </w:rPr>
            </w:pPr>
            <w:r>
              <w:rPr>
                <w:rFonts w:hint="eastAsia"/>
                <w:color w:val="auto"/>
                <w:szCs w:val="21"/>
              </w:rPr>
              <w:t>评标委员会由采购人依法组建。</w:t>
            </w:r>
          </w:p>
        </w:tc>
      </w:tr>
      <w:tr w14:paraId="166089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975" w:type="dxa"/>
            <w:vAlign w:val="center"/>
          </w:tcPr>
          <w:p w14:paraId="5D48D674">
            <w:pPr>
              <w:pStyle w:val="23"/>
              <w:spacing w:line="440" w:lineRule="exact"/>
              <w:jc w:val="left"/>
              <w:rPr>
                <w:color w:val="auto"/>
                <w:szCs w:val="21"/>
              </w:rPr>
            </w:pPr>
            <w:r>
              <w:rPr>
                <w:rFonts w:hint="eastAsia"/>
                <w:color w:val="auto"/>
                <w:szCs w:val="21"/>
              </w:rPr>
              <w:t>29.1.1</w:t>
            </w:r>
          </w:p>
        </w:tc>
        <w:tc>
          <w:tcPr>
            <w:tcW w:w="2125" w:type="dxa"/>
            <w:vAlign w:val="center"/>
          </w:tcPr>
          <w:p w14:paraId="418E2F77">
            <w:pPr>
              <w:pStyle w:val="23"/>
              <w:spacing w:line="440" w:lineRule="exact"/>
              <w:jc w:val="left"/>
              <w:rPr>
                <w:color w:val="auto"/>
                <w:szCs w:val="21"/>
              </w:rPr>
            </w:pPr>
            <w:r>
              <w:rPr>
                <w:rFonts w:hint="eastAsia"/>
                <w:color w:val="auto"/>
                <w:szCs w:val="21"/>
              </w:rPr>
              <w:t>是否授权评标委员会确定中标候选人</w:t>
            </w:r>
          </w:p>
        </w:tc>
        <w:tc>
          <w:tcPr>
            <w:tcW w:w="7150" w:type="dxa"/>
            <w:vAlign w:val="center"/>
          </w:tcPr>
          <w:p w14:paraId="2521CEA3">
            <w:pPr>
              <w:pStyle w:val="23"/>
              <w:spacing w:line="440" w:lineRule="exact"/>
              <w:jc w:val="left"/>
              <w:rPr>
                <w:color w:val="auto"/>
                <w:szCs w:val="21"/>
              </w:rPr>
            </w:pPr>
            <w:r>
              <w:rPr>
                <w:rFonts w:hint="eastAsia" w:hAnsi="宋体"/>
                <w:color w:val="auto"/>
                <w:szCs w:val="21"/>
              </w:rPr>
              <w:t>是，评标委员会推荐</w:t>
            </w:r>
            <w:r>
              <w:rPr>
                <w:rFonts w:hint="eastAsia" w:hAnsi="宋体"/>
                <w:color w:val="auto"/>
                <w:szCs w:val="21"/>
                <w:u w:val="single"/>
              </w:rPr>
              <w:t>3</w:t>
            </w:r>
            <w:r>
              <w:rPr>
                <w:rFonts w:hint="eastAsia" w:hAnsi="宋体"/>
                <w:color w:val="auto"/>
                <w:szCs w:val="21"/>
              </w:rPr>
              <w:t>名中标候选人。</w:t>
            </w:r>
          </w:p>
        </w:tc>
      </w:tr>
      <w:tr w14:paraId="06B9B1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975" w:type="dxa"/>
            <w:vAlign w:val="center"/>
          </w:tcPr>
          <w:p w14:paraId="51240C96">
            <w:pPr>
              <w:pStyle w:val="23"/>
              <w:spacing w:line="440" w:lineRule="exact"/>
              <w:jc w:val="left"/>
              <w:rPr>
                <w:color w:val="auto"/>
                <w:szCs w:val="21"/>
              </w:rPr>
            </w:pPr>
            <w:r>
              <w:rPr>
                <w:rFonts w:hint="eastAsia"/>
                <w:color w:val="auto"/>
                <w:szCs w:val="21"/>
              </w:rPr>
              <w:t>29.1.2</w:t>
            </w:r>
          </w:p>
        </w:tc>
        <w:tc>
          <w:tcPr>
            <w:tcW w:w="2125" w:type="dxa"/>
            <w:vAlign w:val="center"/>
          </w:tcPr>
          <w:p w14:paraId="7D7CB4B4">
            <w:pPr>
              <w:pStyle w:val="23"/>
              <w:spacing w:line="440" w:lineRule="exact"/>
              <w:jc w:val="left"/>
              <w:rPr>
                <w:color w:val="auto"/>
                <w:szCs w:val="21"/>
              </w:rPr>
            </w:pPr>
            <w:r>
              <w:rPr>
                <w:rFonts w:hint="eastAsia"/>
                <w:color w:val="auto"/>
                <w:szCs w:val="21"/>
              </w:rPr>
              <w:t>中标结果公告媒介</w:t>
            </w:r>
          </w:p>
        </w:tc>
        <w:tc>
          <w:tcPr>
            <w:tcW w:w="7150" w:type="dxa"/>
          </w:tcPr>
          <w:p w14:paraId="67B0816B">
            <w:pPr>
              <w:pStyle w:val="23"/>
              <w:wordWrap w:val="0"/>
              <w:spacing w:line="440" w:lineRule="exact"/>
              <w:jc w:val="left"/>
              <w:rPr>
                <w:color w:val="auto"/>
                <w:spacing w:val="-4"/>
                <w:szCs w:val="21"/>
              </w:rPr>
            </w:pPr>
            <w:r>
              <w:rPr>
                <w:rFonts w:hint="eastAsia" w:hAnsi="宋体" w:cs="宋体"/>
                <w:color w:val="auto"/>
                <w:spacing w:val="-4"/>
                <w:szCs w:val="21"/>
              </w:rPr>
              <w:t>滁州市机电工程学校官网（http://www.cztc.edu.cn/）网站</w:t>
            </w:r>
          </w:p>
        </w:tc>
      </w:tr>
      <w:tr w14:paraId="30A4A8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trPr>
        <w:tc>
          <w:tcPr>
            <w:tcW w:w="975" w:type="dxa"/>
            <w:vAlign w:val="center"/>
          </w:tcPr>
          <w:p w14:paraId="1A9350C9">
            <w:pPr>
              <w:spacing w:line="440" w:lineRule="exact"/>
              <w:jc w:val="left"/>
              <w:rPr>
                <w:rFonts w:ascii="宋体" w:cs="宋体"/>
                <w:color w:val="auto"/>
                <w:szCs w:val="21"/>
              </w:rPr>
            </w:pPr>
            <w:r>
              <w:rPr>
                <w:rFonts w:hint="eastAsia" w:ascii="宋体" w:cs="宋体"/>
                <w:color w:val="auto"/>
                <w:szCs w:val="21"/>
              </w:rPr>
              <w:t>29.2</w:t>
            </w:r>
          </w:p>
        </w:tc>
        <w:tc>
          <w:tcPr>
            <w:tcW w:w="2125" w:type="dxa"/>
            <w:vAlign w:val="center"/>
          </w:tcPr>
          <w:p w14:paraId="72C04CB5">
            <w:pPr>
              <w:spacing w:line="440" w:lineRule="exact"/>
              <w:jc w:val="left"/>
              <w:rPr>
                <w:rFonts w:ascii="宋体"/>
                <w:color w:val="auto"/>
                <w:szCs w:val="21"/>
              </w:rPr>
            </w:pPr>
            <w:r>
              <w:rPr>
                <w:rFonts w:hint="eastAsia" w:ascii="宋体"/>
                <w:color w:val="auto"/>
                <w:szCs w:val="21"/>
              </w:rPr>
              <w:t>中标通知书</w:t>
            </w:r>
          </w:p>
        </w:tc>
        <w:tc>
          <w:tcPr>
            <w:tcW w:w="7150" w:type="dxa"/>
            <w:vAlign w:val="center"/>
          </w:tcPr>
          <w:p w14:paraId="713DC554">
            <w:pPr>
              <w:spacing w:line="440" w:lineRule="exact"/>
              <w:jc w:val="left"/>
              <w:rPr>
                <w:rFonts w:ascii="宋体"/>
                <w:color w:val="auto"/>
                <w:szCs w:val="21"/>
              </w:rPr>
            </w:pPr>
            <w:r>
              <w:rPr>
                <w:rFonts w:hint="eastAsia" w:ascii="宋体" w:hAnsi="宋体" w:cs="宋体"/>
                <w:color w:val="auto"/>
                <w:szCs w:val="21"/>
              </w:rPr>
              <w:t>中标通知书须加盖公章后方可发出</w:t>
            </w:r>
            <w:r>
              <w:rPr>
                <w:rFonts w:hint="eastAsia" w:ascii="宋体"/>
                <w:color w:val="auto"/>
                <w:szCs w:val="21"/>
              </w:rPr>
              <w:t>。</w:t>
            </w:r>
          </w:p>
        </w:tc>
      </w:tr>
      <w:tr w14:paraId="71ABF4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trPr>
        <w:tc>
          <w:tcPr>
            <w:tcW w:w="975" w:type="dxa"/>
            <w:vAlign w:val="center"/>
          </w:tcPr>
          <w:p w14:paraId="356C8328">
            <w:pPr>
              <w:spacing w:line="440" w:lineRule="exact"/>
              <w:jc w:val="left"/>
              <w:rPr>
                <w:rFonts w:ascii="宋体" w:cs="宋体"/>
                <w:color w:val="auto"/>
                <w:szCs w:val="21"/>
              </w:rPr>
            </w:pPr>
            <w:r>
              <w:rPr>
                <w:rFonts w:hint="eastAsia" w:ascii="宋体" w:cs="宋体"/>
                <w:color w:val="auto"/>
                <w:szCs w:val="21"/>
              </w:rPr>
              <w:t>33.1</w:t>
            </w:r>
          </w:p>
        </w:tc>
        <w:tc>
          <w:tcPr>
            <w:tcW w:w="2125" w:type="dxa"/>
            <w:vAlign w:val="center"/>
          </w:tcPr>
          <w:p w14:paraId="6EA9A0BA">
            <w:pPr>
              <w:spacing w:line="440" w:lineRule="exact"/>
              <w:jc w:val="left"/>
              <w:rPr>
                <w:rFonts w:ascii="宋体" w:hAnsi="Calibri"/>
                <w:color w:val="auto"/>
                <w:spacing w:val="-4"/>
                <w:kern w:val="2"/>
                <w:szCs w:val="21"/>
              </w:rPr>
            </w:pPr>
            <w:r>
              <w:rPr>
                <w:rFonts w:hint="eastAsia" w:ascii="宋体" w:hAnsi="Calibri"/>
                <w:color w:val="auto"/>
                <w:spacing w:val="-4"/>
                <w:kern w:val="2"/>
                <w:szCs w:val="21"/>
              </w:rPr>
              <w:t>履约担保</w:t>
            </w:r>
          </w:p>
        </w:tc>
        <w:tc>
          <w:tcPr>
            <w:tcW w:w="7150" w:type="dxa"/>
            <w:vAlign w:val="center"/>
          </w:tcPr>
          <w:p w14:paraId="170B5CD6">
            <w:pPr>
              <w:pStyle w:val="23"/>
              <w:spacing w:line="440" w:lineRule="exact"/>
              <w:rPr>
                <w:rFonts w:hAnsi="Calibri"/>
                <w:color w:val="auto"/>
                <w:spacing w:val="-4"/>
                <w:szCs w:val="21"/>
              </w:rPr>
            </w:pPr>
            <w:r>
              <w:rPr>
                <w:rFonts w:hint="eastAsia" w:hAnsi="Calibri"/>
                <w:color w:val="auto"/>
                <w:spacing w:val="-4"/>
                <w:szCs w:val="21"/>
              </w:rPr>
              <w:t>是否收取履约担保：□收取，☑不收取</w:t>
            </w:r>
          </w:p>
        </w:tc>
      </w:tr>
      <w:tr w14:paraId="1070A1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trPr>
        <w:tc>
          <w:tcPr>
            <w:tcW w:w="975" w:type="dxa"/>
            <w:vAlign w:val="center"/>
          </w:tcPr>
          <w:p w14:paraId="419199A4">
            <w:pPr>
              <w:spacing w:line="440" w:lineRule="exact"/>
              <w:jc w:val="left"/>
              <w:rPr>
                <w:rFonts w:ascii="宋体" w:cs="宋体"/>
                <w:color w:val="auto"/>
                <w:szCs w:val="21"/>
              </w:rPr>
            </w:pPr>
            <w:r>
              <w:rPr>
                <w:rFonts w:hint="eastAsia" w:ascii="宋体" w:cs="宋体"/>
                <w:color w:val="auto"/>
                <w:szCs w:val="21"/>
              </w:rPr>
              <w:t>38.2</w:t>
            </w:r>
          </w:p>
        </w:tc>
        <w:tc>
          <w:tcPr>
            <w:tcW w:w="2125" w:type="dxa"/>
            <w:vAlign w:val="center"/>
          </w:tcPr>
          <w:p w14:paraId="3C8FB89B">
            <w:pPr>
              <w:spacing w:line="440" w:lineRule="exact"/>
              <w:jc w:val="left"/>
              <w:rPr>
                <w:rFonts w:ascii="宋体"/>
                <w:color w:val="auto"/>
                <w:szCs w:val="21"/>
              </w:rPr>
            </w:pPr>
            <w:r>
              <w:rPr>
                <w:rFonts w:hint="eastAsia"/>
                <w:color w:val="auto"/>
                <w:szCs w:val="21"/>
              </w:rPr>
              <w:t>投标人对招标文件提出</w:t>
            </w:r>
            <w:r>
              <w:rPr>
                <w:rFonts w:hint="eastAsia"/>
                <w:color w:val="auto"/>
                <w:szCs w:val="21"/>
                <w:u w:val="single"/>
              </w:rPr>
              <w:t>质疑</w:t>
            </w:r>
            <w:r>
              <w:rPr>
                <w:rFonts w:hint="eastAsia"/>
                <w:color w:val="auto"/>
                <w:szCs w:val="21"/>
              </w:rPr>
              <w:t>的截止时间及方式</w:t>
            </w:r>
          </w:p>
        </w:tc>
        <w:tc>
          <w:tcPr>
            <w:tcW w:w="7150" w:type="dxa"/>
            <w:vAlign w:val="center"/>
          </w:tcPr>
          <w:p w14:paraId="3EC70D4C">
            <w:pPr>
              <w:spacing w:line="440" w:lineRule="exact"/>
              <w:jc w:val="left"/>
              <w:rPr>
                <w:color w:val="auto"/>
                <w:szCs w:val="21"/>
              </w:rPr>
            </w:pPr>
            <w:r>
              <w:rPr>
                <w:rFonts w:hint="eastAsia"/>
                <w:color w:val="auto"/>
                <w:szCs w:val="21"/>
              </w:rPr>
              <w:t>如供应商对招标文件有疑问，请于2024年</w:t>
            </w:r>
            <w:r>
              <w:rPr>
                <w:rFonts w:hint="eastAsia"/>
                <w:color w:val="auto"/>
                <w:szCs w:val="21"/>
                <w:lang w:val="en-US" w:eastAsia="zh-CN"/>
              </w:rPr>
              <w:t>09</w:t>
            </w:r>
            <w:r>
              <w:rPr>
                <w:rFonts w:hint="eastAsia"/>
                <w:color w:val="auto"/>
                <w:szCs w:val="21"/>
              </w:rPr>
              <w:t>月</w:t>
            </w:r>
            <w:r>
              <w:rPr>
                <w:rFonts w:hint="eastAsia"/>
                <w:color w:val="auto"/>
                <w:szCs w:val="21"/>
                <w:lang w:val="en-US" w:eastAsia="zh-CN"/>
              </w:rPr>
              <w:t>07</w:t>
            </w:r>
            <w:r>
              <w:rPr>
                <w:rFonts w:hint="eastAsia"/>
                <w:color w:val="auto"/>
                <w:szCs w:val="21"/>
              </w:rPr>
              <w:t>日17时前以电子邮件形式发送到40271471@qq.com邮箱。</w:t>
            </w:r>
          </w:p>
        </w:tc>
      </w:tr>
      <w:tr w14:paraId="3DBFBC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trPr>
        <w:tc>
          <w:tcPr>
            <w:tcW w:w="975" w:type="dxa"/>
            <w:vAlign w:val="center"/>
          </w:tcPr>
          <w:p w14:paraId="12D086FD">
            <w:pPr>
              <w:spacing w:line="440" w:lineRule="exact"/>
              <w:jc w:val="left"/>
              <w:rPr>
                <w:rFonts w:ascii="宋体" w:cs="宋体"/>
                <w:color w:val="auto"/>
                <w:szCs w:val="21"/>
              </w:rPr>
            </w:pPr>
            <w:r>
              <w:rPr>
                <w:rFonts w:hint="eastAsia" w:ascii="宋体" w:cs="宋体"/>
                <w:color w:val="auto"/>
                <w:szCs w:val="21"/>
              </w:rPr>
              <w:t>38.6</w:t>
            </w:r>
          </w:p>
        </w:tc>
        <w:tc>
          <w:tcPr>
            <w:tcW w:w="2125" w:type="dxa"/>
            <w:vAlign w:val="center"/>
          </w:tcPr>
          <w:p w14:paraId="2000ED33">
            <w:pPr>
              <w:spacing w:line="440" w:lineRule="exact"/>
              <w:jc w:val="left"/>
              <w:rPr>
                <w:color w:val="auto"/>
                <w:szCs w:val="21"/>
              </w:rPr>
            </w:pPr>
            <w:r>
              <w:rPr>
                <w:rFonts w:hint="eastAsia"/>
                <w:color w:val="auto"/>
                <w:szCs w:val="21"/>
              </w:rPr>
              <w:t>采购人答复在线质疑的时间及方式</w:t>
            </w:r>
          </w:p>
        </w:tc>
        <w:tc>
          <w:tcPr>
            <w:tcW w:w="7150" w:type="dxa"/>
            <w:vAlign w:val="center"/>
          </w:tcPr>
          <w:p w14:paraId="6226DE66">
            <w:pPr>
              <w:pStyle w:val="23"/>
              <w:spacing w:line="440" w:lineRule="exact"/>
              <w:rPr>
                <w:color w:val="auto"/>
                <w:szCs w:val="21"/>
                <w:u w:val="single"/>
              </w:rPr>
            </w:pPr>
            <w:r>
              <w:rPr>
                <w:rFonts w:hint="eastAsia" w:hAnsi="Calibri"/>
                <w:color w:val="auto"/>
                <w:szCs w:val="21"/>
              </w:rPr>
              <w:t>收到</w:t>
            </w:r>
            <w:r>
              <w:rPr>
                <w:rFonts w:hint="eastAsia"/>
                <w:color w:val="auto"/>
                <w:szCs w:val="21"/>
              </w:rPr>
              <w:t>在线</w:t>
            </w:r>
            <w:r>
              <w:rPr>
                <w:rFonts w:hint="eastAsia" w:hAnsi="Calibri"/>
                <w:color w:val="auto"/>
                <w:szCs w:val="21"/>
              </w:rPr>
              <w:t>质疑后，采购人将在2024年</w:t>
            </w:r>
            <w:r>
              <w:rPr>
                <w:rFonts w:hint="eastAsia" w:hAnsi="Calibri"/>
                <w:color w:val="auto"/>
                <w:szCs w:val="21"/>
                <w:lang w:val="en-US" w:eastAsia="zh-CN"/>
              </w:rPr>
              <w:t>09</w:t>
            </w:r>
            <w:r>
              <w:rPr>
                <w:rFonts w:hint="eastAsia" w:hAnsi="Calibri"/>
                <w:color w:val="auto"/>
                <w:szCs w:val="21"/>
              </w:rPr>
              <w:t>月</w:t>
            </w:r>
            <w:r>
              <w:rPr>
                <w:rFonts w:hint="eastAsia" w:hAnsi="Calibri"/>
                <w:color w:val="auto"/>
                <w:szCs w:val="21"/>
                <w:lang w:val="en-US" w:eastAsia="zh-CN"/>
              </w:rPr>
              <w:t>08</w:t>
            </w:r>
            <w:r>
              <w:rPr>
                <w:rFonts w:hint="eastAsia" w:hAnsi="Calibri"/>
                <w:color w:val="auto"/>
                <w:szCs w:val="21"/>
              </w:rPr>
              <w:t>日17时后将以澄清公告的形式在网站公告。请各位投标人注意查看有关澄清内容，如不及时查看造成后果由投标人自负。</w:t>
            </w:r>
          </w:p>
        </w:tc>
      </w:tr>
      <w:tr w14:paraId="7C3CEC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5" w:hRule="atLeast"/>
        </w:trPr>
        <w:tc>
          <w:tcPr>
            <w:tcW w:w="3100" w:type="dxa"/>
            <w:gridSpan w:val="2"/>
            <w:vAlign w:val="center"/>
          </w:tcPr>
          <w:p w14:paraId="786FE9BA">
            <w:pPr>
              <w:spacing w:line="440" w:lineRule="exact"/>
              <w:jc w:val="center"/>
              <w:rPr>
                <w:rFonts w:ascii="宋体"/>
                <w:color w:val="auto"/>
                <w:szCs w:val="21"/>
              </w:rPr>
            </w:pPr>
            <w:r>
              <w:rPr>
                <w:rFonts w:hint="eastAsia" w:ascii="宋体" w:hAnsi="宋体" w:cs="宋体"/>
                <w:color w:val="auto"/>
                <w:szCs w:val="21"/>
              </w:rPr>
              <w:t>付款方式、时间、条件</w:t>
            </w:r>
          </w:p>
        </w:tc>
        <w:tc>
          <w:tcPr>
            <w:tcW w:w="7150" w:type="dxa"/>
            <w:vAlign w:val="center"/>
          </w:tcPr>
          <w:p w14:paraId="73CA28AF">
            <w:pPr>
              <w:snapToGrid w:val="0"/>
              <w:spacing w:line="440" w:lineRule="exact"/>
              <w:rPr>
                <w:color w:val="auto"/>
              </w:rPr>
            </w:pPr>
            <w:r>
              <w:rPr>
                <w:rFonts w:hint="eastAsia" w:ascii="宋体" w:hAnsi="宋体" w:cs="宋体"/>
                <w:color w:val="auto"/>
                <w:szCs w:val="21"/>
              </w:rPr>
              <w:t>合同生效后每年甲方向乙方分两次支付全年维保费用，合同签订后第七个月内支付年维保费用的50%，第十三个月内支付余下50%的年维保费用（每次支付费用前均须经招标人对中标单位服务内容考核合格后方可支付费用）。</w:t>
            </w:r>
            <w:r>
              <w:rPr>
                <w:rFonts w:hint="eastAsia"/>
                <w:b/>
                <w:bCs/>
                <w:color w:val="auto"/>
              </w:rPr>
              <w:t>注：合同外服务费每半年支付一次，服务费按照如下方式确定：1、如中标价清单中有相同项目及类似项目单价的，则按已有项目的单价执行；2、如中标价清单中无相同项目及类似项目单价的，则由采购人组织相关部门、中标人共同询价确定。经学校校长办公会研究同意后，据实结算支付。</w:t>
            </w:r>
          </w:p>
        </w:tc>
      </w:tr>
      <w:tr w14:paraId="3AA958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100" w:type="dxa"/>
            <w:gridSpan w:val="2"/>
            <w:vAlign w:val="center"/>
          </w:tcPr>
          <w:p w14:paraId="2A9B7FD2">
            <w:pPr>
              <w:spacing w:line="440" w:lineRule="exact"/>
              <w:jc w:val="left"/>
              <w:rPr>
                <w:rFonts w:ascii="宋体" w:hAnsi="宋体" w:cs="宋体"/>
                <w:color w:val="auto"/>
                <w:szCs w:val="21"/>
              </w:rPr>
            </w:pPr>
            <w:r>
              <w:rPr>
                <w:rFonts w:hint="eastAsia" w:ascii="宋体" w:hAnsi="宋体" w:cs="宋体"/>
                <w:color w:val="auto"/>
                <w:szCs w:val="21"/>
              </w:rPr>
              <w:t>招标文件获取方式和时间</w:t>
            </w:r>
          </w:p>
        </w:tc>
        <w:tc>
          <w:tcPr>
            <w:tcW w:w="7150" w:type="dxa"/>
          </w:tcPr>
          <w:p w14:paraId="264EBE96">
            <w:pPr>
              <w:topLinePunct/>
              <w:spacing w:line="440" w:lineRule="exact"/>
              <w:jc w:val="left"/>
              <w:rPr>
                <w:rFonts w:ascii="宋体" w:hAnsi="宋体" w:cs="宋体"/>
                <w:color w:val="auto"/>
                <w:szCs w:val="21"/>
              </w:rPr>
            </w:pPr>
            <w:r>
              <w:rPr>
                <w:rFonts w:hint="eastAsia" w:ascii="宋体" w:hAnsi="宋体" w:cs="宋体"/>
                <w:color w:val="auto"/>
                <w:szCs w:val="21"/>
              </w:rPr>
              <w:t>招标文件获取方式：网上下载；</w:t>
            </w:r>
          </w:p>
          <w:p w14:paraId="4C0539BD">
            <w:pPr>
              <w:topLinePunct/>
              <w:spacing w:line="440" w:lineRule="exact"/>
              <w:jc w:val="left"/>
              <w:rPr>
                <w:rFonts w:ascii="宋体" w:hAnsi="宋体" w:cs="宋体"/>
                <w:color w:val="auto"/>
                <w:szCs w:val="21"/>
              </w:rPr>
            </w:pPr>
            <w:r>
              <w:rPr>
                <w:rFonts w:hint="eastAsia" w:ascii="宋体" w:hAnsi="宋体" w:cs="宋体"/>
                <w:color w:val="auto"/>
                <w:szCs w:val="21"/>
              </w:rPr>
              <w:t>获取时间：招标文件发布至投标截止时间。</w:t>
            </w:r>
          </w:p>
        </w:tc>
      </w:tr>
      <w:tr w14:paraId="381985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100" w:type="dxa"/>
            <w:gridSpan w:val="2"/>
            <w:vAlign w:val="center"/>
          </w:tcPr>
          <w:p w14:paraId="200370DF">
            <w:pPr>
              <w:spacing w:line="440" w:lineRule="exact"/>
              <w:jc w:val="left"/>
              <w:rPr>
                <w:rFonts w:ascii="宋体" w:hAnsi="宋体" w:cs="宋体"/>
                <w:b/>
                <w:bCs/>
                <w:color w:val="auto"/>
                <w:szCs w:val="21"/>
              </w:rPr>
            </w:pPr>
            <w:r>
              <w:rPr>
                <w:rFonts w:hint="eastAsia" w:ascii="宋体" w:hAnsi="宋体" w:cs="宋体"/>
                <w:b/>
                <w:bCs/>
                <w:color w:val="auto"/>
                <w:szCs w:val="21"/>
              </w:rPr>
              <w:t>招标文件公告期限</w:t>
            </w:r>
          </w:p>
        </w:tc>
        <w:tc>
          <w:tcPr>
            <w:tcW w:w="7150" w:type="dxa"/>
          </w:tcPr>
          <w:p w14:paraId="747C24DE">
            <w:pPr>
              <w:topLinePunct/>
              <w:spacing w:line="440" w:lineRule="exact"/>
              <w:jc w:val="left"/>
              <w:rPr>
                <w:rFonts w:ascii="宋体" w:hAnsi="宋体" w:cs="宋体"/>
                <w:b/>
                <w:bCs/>
                <w:color w:val="auto"/>
                <w:szCs w:val="21"/>
              </w:rPr>
            </w:pPr>
            <w:r>
              <w:rPr>
                <w:rFonts w:hint="eastAsia" w:ascii="宋体" w:hAnsi="宋体" w:cs="宋体"/>
                <w:b/>
                <w:bCs/>
                <w:color w:val="auto"/>
                <w:kern w:val="2"/>
                <w:szCs w:val="21"/>
              </w:rPr>
              <w:t>自发布之日起</w:t>
            </w:r>
            <w:r>
              <w:rPr>
                <w:rFonts w:hint="eastAsia" w:ascii="宋体" w:hAnsi="宋体" w:cs="宋体"/>
                <w:b/>
                <w:bCs/>
                <w:color w:val="auto"/>
                <w:szCs w:val="21"/>
              </w:rPr>
              <w:t>3个工作日</w:t>
            </w:r>
          </w:p>
        </w:tc>
      </w:tr>
      <w:tr w14:paraId="08CE7F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100" w:type="dxa"/>
            <w:gridSpan w:val="2"/>
            <w:vAlign w:val="center"/>
          </w:tcPr>
          <w:p w14:paraId="0C52FC23">
            <w:pPr>
              <w:spacing w:line="440" w:lineRule="exact"/>
              <w:jc w:val="left"/>
              <w:rPr>
                <w:rFonts w:ascii="宋体" w:hAnsi="宋体" w:cs="宋体"/>
                <w:color w:val="auto"/>
                <w:szCs w:val="21"/>
              </w:rPr>
            </w:pPr>
            <w:r>
              <w:rPr>
                <w:rFonts w:hint="eastAsia" w:ascii="宋体" w:hAnsi="宋体" w:cs="宋体"/>
                <w:color w:val="auto"/>
                <w:szCs w:val="21"/>
              </w:rPr>
              <w:t>同义词语</w:t>
            </w:r>
          </w:p>
        </w:tc>
        <w:tc>
          <w:tcPr>
            <w:tcW w:w="7150" w:type="dxa"/>
            <w:vAlign w:val="center"/>
          </w:tcPr>
          <w:p w14:paraId="5CA53DB2">
            <w:pPr>
              <w:spacing w:line="440" w:lineRule="exact"/>
              <w:jc w:val="left"/>
              <w:rPr>
                <w:rFonts w:ascii="宋体" w:hAnsi="宋体" w:cs="宋体"/>
                <w:color w:val="auto"/>
                <w:kern w:val="2"/>
                <w:szCs w:val="21"/>
              </w:rPr>
            </w:pPr>
            <w:r>
              <w:rPr>
                <w:rFonts w:hint="eastAsia" w:ascii="宋体" w:hAnsi="宋体" w:cs="宋体"/>
                <w:color w:val="auto"/>
                <w:szCs w:val="21"/>
              </w:rPr>
              <w:t>招标文件第六章  投标文件格式、附件1“关于联合惩戒失信行为 加强信用查询管理的通知”等章节中“招标人”、“投标人”，等同于“采购人”、“投标人”。</w:t>
            </w:r>
          </w:p>
        </w:tc>
      </w:tr>
    </w:tbl>
    <w:p w14:paraId="5091ADD0">
      <w:pPr>
        <w:pStyle w:val="4"/>
        <w:spacing w:beforeLines="50" w:afterLines="50" w:line="440" w:lineRule="exact"/>
        <w:rPr>
          <w:rFonts w:ascii="黑体" w:hAnsi="黑体" w:eastAsia="黑体" w:cs="黑体"/>
          <w:color w:val="auto"/>
          <w:sz w:val="28"/>
          <w:szCs w:val="28"/>
        </w:rPr>
      </w:pPr>
      <w:bookmarkStart w:id="38" w:name="_Toc35549708"/>
      <w:bookmarkStart w:id="39" w:name="_Toc35549353"/>
      <w:r>
        <w:rPr>
          <w:rFonts w:hint="eastAsia" w:ascii="宋体" w:hAnsi="宋体" w:cs="宋体"/>
          <w:color w:val="auto"/>
          <w:sz w:val="28"/>
          <w:szCs w:val="28"/>
        </w:rPr>
        <w:br w:type="page"/>
      </w:r>
      <w:bookmarkStart w:id="40" w:name="_Toc17017"/>
      <w:bookmarkStart w:id="41" w:name="_Toc13588"/>
      <w:bookmarkStart w:id="42" w:name="_Toc9050"/>
      <w:r>
        <w:rPr>
          <w:rFonts w:hint="eastAsia" w:ascii="黑体" w:hAnsi="黑体" w:eastAsia="黑体" w:cs="黑体"/>
          <w:color w:val="auto"/>
          <w:sz w:val="28"/>
          <w:szCs w:val="28"/>
        </w:rPr>
        <w:t>二、投标人须知</w:t>
      </w:r>
      <w:bookmarkEnd w:id="38"/>
      <w:bookmarkEnd w:id="39"/>
      <w:bookmarkEnd w:id="40"/>
      <w:bookmarkEnd w:id="41"/>
      <w:bookmarkEnd w:id="42"/>
    </w:p>
    <w:p w14:paraId="57E69C56">
      <w:pPr>
        <w:spacing w:beforeLines="50" w:afterLines="50" w:line="440" w:lineRule="exact"/>
        <w:jc w:val="center"/>
        <w:rPr>
          <w:rFonts w:ascii="黑体" w:hAnsi="黑体" w:eastAsia="黑体" w:cs="黑体"/>
          <w:color w:val="auto"/>
          <w:sz w:val="24"/>
          <w:szCs w:val="24"/>
        </w:rPr>
      </w:pPr>
      <w:bookmarkStart w:id="43" w:name="_Toc449028867"/>
      <w:r>
        <w:rPr>
          <w:rFonts w:hint="eastAsia" w:ascii="黑体" w:hAnsi="黑体" w:eastAsia="黑体" w:cs="黑体"/>
          <w:b/>
          <w:color w:val="auto"/>
          <w:sz w:val="24"/>
          <w:szCs w:val="24"/>
        </w:rPr>
        <w:t>（一）总  则</w:t>
      </w:r>
      <w:bookmarkEnd w:id="43"/>
    </w:p>
    <w:p w14:paraId="648E28A8">
      <w:pPr>
        <w:snapToGrid w:val="0"/>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1.项目概况</w:t>
      </w:r>
    </w:p>
    <w:p w14:paraId="7EE826E5">
      <w:pPr>
        <w:snapToGrid w:val="0"/>
        <w:spacing w:line="440" w:lineRule="exact"/>
        <w:ind w:firstLine="420" w:firstLineChars="200"/>
        <w:jc w:val="left"/>
        <w:rPr>
          <w:rFonts w:ascii="宋体" w:hAnsi="宋体" w:cs="宋体"/>
          <w:color w:val="auto"/>
          <w:szCs w:val="21"/>
          <w:u w:val="single"/>
        </w:rPr>
      </w:pPr>
      <w:r>
        <w:rPr>
          <w:rFonts w:hint="eastAsia" w:ascii="宋体" w:hAnsi="宋体" w:cs="宋体"/>
          <w:color w:val="auto"/>
          <w:szCs w:val="21"/>
        </w:rPr>
        <w:t>1.1本次招标采购项目名称：见投标人须知前附表。</w:t>
      </w:r>
    </w:p>
    <w:p w14:paraId="2CF790A4">
      <w:pPr>
        <w:snapToGrid w:val="0"/>
        <w:spacing w:line="440" w:lineRule="exact"/>
        <w:ind w:firstLine="420" w:firstLineChars="200"/>
        <w:jc w:val="left"/>
        <w:rPr>
          <w:rFonts w:ascii="宋体" w:hAnsi="宋体" w:cs="宋体"/>
          <w:color w:val="auto"/>
          <w:szCs w:val="21"/>
          <w:u w:val="single"/>
        </w:rPr>
      </w:pPr>
      <w:r>
        <w:rPr>
          <w:rFonts w:hint="eastAsia" w:ascii="宋体" w:hAnsi="宋体" w:cs="宋体"/>
          <w:color w:val="auto"/>
          <w:szCs w:val="21"/>
        </w:rPr>
        <w:t>项目编号：见投标人须知前附表。</w:t>
      </w:r>
    </w:p>
    <w:p w14:paraId="3A843CCB">
      <w:pPr>
        <w:snapToGrid w:val="0"/>
        <w:spacing w:line="440" w:lineRule="exact"/>
        <w:ind w:firstLine="420" w:firstLineChars="200"/>
        <w:jc w:val="left"/>
        <w:rPr>
          <w:rFonts w:ascii="宋体" w:hAnsi="宋体" w:cs="宋体"/>
          <w:color w:val="auto"/>
          <w:szCs w:val="21"/>
          <w:u w:val="single"/>
        </w:rPr>
      </w:pPr>
      <w:r>
        <w:rPr>
          <w:rFonts w:hint="eastAsia" w:ascii="宋体" w:hAnsi="宋体" w:cs="宋体"/>
          <w:color w:val="auto"/>
          <w:szCs w:val="21"/>
        </w:rPr>
        <w:t>采购人：见投标人须知前附表。</w:t>
      </w:r>
    </w:p>
    <w:p w14:paraId="490832A9">
      <w:pPr>
        <w:snapToGrid w:val="0"/>
        <w:spacing w:line="440" w:lineRule="exact"/>
        <w:ind w:firstLine="420" w:firstLineChars="200"/>
        <w:jc w:val="left"/>
        <w:rPr>
          <w:rFonts w:ascii="宋体" w:hAnsi="宋体" w:cs="宋体"/>
          <w:color w:val="auto"/>
          <w:szCs w:val="21"/>
          <w:u w:val="single"/>
        </w:rPr>
      </w:pPr>
      <w:r>
        <w:rPr>
          <w:rFonts w:hint="eastAsia" w:ascii="宋体" w:hAnsi="宋体" w:cs="宋体"/>
          <w:color w:val="auto"/>
          <w:szCs w:val="21"/>
        </w:rPr>
        <w:t>服务周期：见投标人须知前附表。</w:t>
      </w:r>
    </w:p>
    <w:p w14:paraId="4C878B56">
      <w:pPr>
        <w:snapToGrid w:val="0"/>
        <w:spacing w:line="440" w:lineRule="exact"/>
        <w:ind w:firstLine="420" w:firstLineChars="200"/>
        <w:jc w:val="left"/>
        <w:rPr>
          <w:rFonts w:ascii="宋体" w:hAnsi="宋体" w:cs="宋体"/>
          <w:color w:val="auto"/>
          <w:szCs w:val="21"/>
          <w:u w:val="single"/>
        </w:rPr>
      </w:pPr>
      <w:r>
        <w:rPr>
          <w:rFonts w:hint="eastAsia" w:ascii="宋体" w:hAnsi="宋体" w:cs="宋体"/>
          <w:color w:val="auto"/>
          <w:szCs w:val="21"/>
        </w:rPr>
        <w:t>服务地点：见投标人须知前附表。</w:t>
      </w:r>
    </w:p>
    <w:p w14:paraId="458691D6">
      <w:pPr>
        <w:snapToGrid w:val="0"/>
        <w:spacing w:line="440" w:lineRule="exact"/>
        <w:ind w:firstLine="420" w:firstLineChars="200"/>
        <w:jc w:val="left"/>
        <w:rPr>
          <w:rFonts w:ascii="宋体" w:hAnsi="宋体" w:cs="宋体"/>
          <w:color w:val="auto"/>
          <w:szCs w:val="21"/>
          <w:u w:val="single"/>
        </w:rPr>
      </w:pPr>
      <w:r>
        <w:rPr>
          <w:rFonts w:hint="eastAsia" w:ascii="宋体" w:hAnsi="宋体" w:cs="宋体"/>
          <w:color w:val="auto"/>
          <w:szCs w:val="21"/>
        </w:rPr>
        <w:t>1.2采购人及联系人: 见投标人须知前附表。</w:t>
      </w:r>
    </w:p>
    <w:p w14:paraId="2BFE18D2">
      <w:pPr>
        <w:snapToGrid w:val="0"/>
        <w:spacing w:line="440" w:lineRule="exact"/>
        <w:ind w:firstLine="420" w:firstLineChars="200"/>
        <w:jc w:val="left"/>
        <w:rPr>
          <w:rFonts w:ascii="宋体" w:hAnsi="宋体" w:cs="宋体"/>
          <w:color w:val="auto"/>
          <w:szCs w:val="21"/>
          <w:u w:val="single"/>
        </w:rPr>
      </w:pPr>
      <w:r>
        <w:rPr>
          <w:rFonts w:hint="eastAsia" w:ascii="宋体" w:hAnsi="宋体" w:cs="宋体"/>
          <w:color w:val="auto"/>
          <w:szCs w:val="21"/>
        </w:rPr>
        <w:t>采购代理机构及联系人: 见投标人须知前附表。</w:t>
      </w:r>
    </w:p>
    <w:p w14:paraId="620A239C">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1.3资金来源：见投标人须知前附表。</w:t>
      </w:r>
    </w:p>
    <w:p w14:paraId="3872974B">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1.4本项目预算：见投标人须知前附表。</w:t>
      </w:r>
    </w:p>
    <w:p w14:paraId="10CE1137">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1.5本项目最高限价：见投标人须知前附表。</w:t>
      </w:r>
    </w:p>
    <w:p w14:paraId="00501F45">
      <w:pPr>
        <w:snapToGrid w:val="0"/>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2.招标范围：</w:t>
      </w:r>
    </w:p>
    <w:p w14:paraId="09BED5F5">
      <w:pPr>
        <w:snapToGrid w:val="0"/>
        <w:spacing w:line="440" w:lineRule="exact"/>
        <w:ind w:firstLine="420" w:firstLineChars="200"/>
        <w:jc w:val="left"/>
        <w:rPr>
          <w:rFonts w:ascii="宋体" w:hAnsi="宋体" w:cs="宋体"/>
          <w:color w:val="auto"/>
          <w:szCs w:val="21"/>
          <w:u w:val="single"/>
        </w:rPr>
      </w:pPr>
      <w:r>
        <w:rPr>
          <w:rFonts w:hint="eastAsia" w:ascii="宋体" w:hAnsi="宋体" w:cs="宋体"/>
          <w:color w:val="auto"/>
          <w:szCs w:val="21"/>
        </w:rPr>
        <w:t>2.1 采购内容：见投标人须知前附表。</w:t>
      </w:r>
    </w:p>
    <w:p w14:paraId="3084A79D">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2.2 技术要求：详见招标文件第四章采购需求及技术参数要求。</w:t>
      </w:r>
    </w:p>
    <w:p w14:paraId="72B0E9FF">
      <w:pPr>
        <w:snapToGrid w:val="0"/>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3.标包划分：</w:t>
      </w:r>
    </w:p>
    <w:p w14:paraId="4E436167">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3.1本项目划分：见投标人须知前附表。</w:t>
      </w:r>
    </w:p>
    <w:p w14:paraId="77670052">
      <w:pPr>
        <w:snapToGrid w:val="0"/>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4.招标方式：</w:t>
      </w:r>
    </w:p>
    <w:p w14:paraId="3FD5721C">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4.1本项目招标方式：见投标人须知前附表。</w:t>
      </w:r>
    </w:p>
    <w:p w14:paraId="0FFE2B9C">
      <w:pPr>
        <w:snapToGrid w:val="0"/>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5.计价方式：</w:t>
      </w:r>
    </w:p>
    <w:p w14:paraId="49ED31A0">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5.1本次招标项目合同采用</w:t>
      </w:r>
      <w:r>
        <w:rPr>
          <w:rFonts w:hint="eastAsia" w:ascii="宋体" w:hAnsi="宋体" w:cs="宋体"/>
          <w:color w:val="auto"/>
          <w:szCs w:val="21"/>
          <w:u w:val="single"/>
        </w:rPr>
        <w:t>固定总价</w:t>
      </w:r>
      <w:r>
        <w:rPr>
          <w:rFonts w:hint="eastAsia" w:ascii="宋体" w:hAnsi="宋体" w:cs="宋体"/>
          <w:color w:val="auto"/>
          <w:szCs w:val="21"/>
        </w:rPr>
        <w:t xml:space="preserve">。 </w:t>
      </w:r>
    </w:p>
    <w:p w14:paraId="735AFC92">
      <w:pPr>
        <w:snapToGrid w:val="0"/>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6.评标办法：</w:t>
      </w:r>
    </w:p>
    <w:p w14:paraId="17B836F3">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6.1本次招标评标采用 </w:t>
      </w:r>
      <w:r>
        <w:rPr>
          <w:rFonts w:hint="eastAsia" w:ascii="宋体" w:hAnsi="宋体" w:cs="宋体"/>
          <w:color w:val="auto"/>
          <w:szCs w:val="21"/>
          <w:u w:val="single"/>
        </w:rPr>
        <w:t>综合评分法</w:t>
      </w:r>
      <w:r>
        <w:rPr>
          <w:rFonts w:hint="eastAsia" w:ascii="宋体" w:hAnsi="宋体" w:cs="宋体"/>
          <w:color w:val="auto"/>
          <w:szCs w:val="21"/>
        </w:rPr>
        <w:t xml:space="preserve"> （详见第三章评标办法）</w:t>
      </w:r>
    </w:p>
    <w:p w14:paraId="29818C80">
      <w:pPr>
        <w:snapToGrid w:val="0"/>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7.投标人资格：</w:t>
      </w:r>
    </w:p>
    <w:p w14:paraId="0287A0C7">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7.1本项目投标人资格：见投标人须知前附表。</w:t>
      </w:r>
    </w:p>
    <w:p w14:paraId="36E50367">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8. 投标费用</w:t>
      </w:r>
    </w:p>
    <w:p w14:paraId="0322ED3C">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8.1投标人准备和参加投标活动发生的费用自理。</w:t>
      </w:r>
    </w:p>
    <w:p w14:paraId="31565BD4">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9.</w:t>
      </w:r>
      <w:bookmarkStart w:id="44" w:name="_Toc247513962"/>
      <w:bookmarkStart w:id="45" w:name="_Toc152045539"/>
      <w:bookmarkStart w:id="46" w:name="_Toc296602429"/>
      <w:bookmarkStart w:id="47" w:name="_Toc152042315"/>
      <w:bookmarkStart w:id="48" w:name="_Toc144974507"/>
      <w:bookmarkStart w:id="49" w:name="_Toc247527563"/>
      <w:bookmarkStart w:id="50" w:name="_Toc247592876"/>
      <w:r>
        <w:rPr>
          <w:rFonts w:hint="eastAsia" w:ascii="宋体" w:hAnsi="宋体" w:cs="宋体"/>
          <w:b/>
          <w:color w:val="auto"/>
          <w:szCs w:val="21"/>
        </w:rPr>
        <w:t xml:space="preserve"> 踏勘现场</w:t>
      </w:r>
      <w:bookmarkEnd w:id="44"/>
      <w:bookmarkEnd w:id="45"/>
      <w:bookmarkEnd w:id="46"/>
      <w:bookmarkEnd w:id="47"/>
      <w:bookmarkEnd w:id="48"/>
      <w:bookmarkEnd w:id="49"/>
      <w:bookmarkEnd w:id="50"/>
    </w:p>
    <w:p w14:paraId="6C905739">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9.1 投标人须知前附表规定组织踏勘现场的，采购人按投标人须知前附表规定的时间、地点组织投标人踏勘项目现场。 </w:t>
      </w:r>
    </w:p>
    <w:p w14:paraId="53048260">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9.2 投标人踏勘现场发生的费用自理。</w:t>
      </w:r>
    </w:p>
    <w:p w14:paraId="1EC77030">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9.3 除采购人的原因外，投标人自行负责在踏勘现场中所发生的人员伤亡和财产损失。</w:t>
      </w:r>
    </w:p>
    <w:p w14:paraId="372A0FAA">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9.4 采购人在踏勘现场中介绍的场地和相关的周边环境情况，供投标人在编制投标文件时参考，采购人不对投标人据此作出的判断和决策负责。</w:t>
      </w:r>
      <w:bookmarkStart w:id="51" w:name="_Toc247527564"/>
      <w:bookmarkStart w:id="52" w:name="_Toc144974508"/>
      <w:bookmarkStart w:id="53" w:name="_Toc152042316"/>
      <w:bookmarkStart w:id="54" w:name="_Toc152045540"/>
      <w:bookmarkStart w:id="55" w:name="_Toc247513963"/>
      <w:bookmarkStart w:id="56" w:name="_Toc296602430"/>
      <w:bookmarkStart w:id="57" w:name="_Toc247592877"/>
    </w:p>
    <w:p w14:paraId="5856FDAF">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10. 投标预备会</w:t>
      </w:r>
      <w:bookmarkEnd w:id="51"/>
      <w:bookmarkEnd w:id="52"/>
      <w:bookmarkEnd w:id="53"/>
      <w:bookmarkEnd w:id="54"/>
      <w:bookmarkEnd w:id="55"/>
      <w:bookmarkEnd w:id="56"/>
      <w:bookmarkEnd w:id="57"/>
      <w:r>
        <w:rPr>
          <w:rFonts w:hint="eastAsia" w:ascii="宋体" w:hAnsi="宋体" w:cs="宋体"/>
          <w:b/>
          <w:color w:val="auto"/>
          <w:szCs w:val="21"/>
        </w:rPr>
        <w:t>（本项目不采用）</w:t>
      </w:r>
    </w:p>
    <w:p w14:paraId="37B02192">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10.1投标人须知前附表规定召开投标预备会的，采购人按投标人须知前附表规定的时间和地点召开投标预备会，澄清投标人提出的问题。</w:t>
      </w:r>
    </w:p>
    <w:p w14:paraId="0934B7D9">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 xml:space="preserve">11. </w:t>
      </w:r>
      <w:r>
        <w:rPr>
          <w:rFonts w:hint="eastAsia"/>
          <w:b/>
          <w:color w:val="auto"/>
          <w:szCs w:val="21"/>
        </w:rPr>
        <w:t>联合投标、合同分包</w:t>
      </w:r>
      <w:r>
        <w:rPr>
          <w:rFonts w:hint="eastAsia" w:ascii="宋体" w:hAnsi="宋体" w:cs="宋体"/>
          <w:b/>
          <w:color w:val="auto"/>
          <w:szCs w:val="21"/>
        </w:rPr>
        <w:t>（本项目不采用）</w:t>
      </w:r>
    </w:p>
    <w:p w14:paraId="20ABF0E6">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12.招标代理费</w:t>
      </w:r>
    </w:p>
    <w:p w14:paraId="1DE81659">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 12.1 招标代理费：见投标人须知前附表。</w:t>
      </w:r>
    </w:p>
    <w:p w14:paraId="47A7AE15">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12.2 专家评审劳务费：见投标人须知前附表。</w:t>
      </w:r>
    </w:p>
    <w:p w14:paraId="60A69A06">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13.投标人应注意的事项</w:t>
      </w:r>
    </w:p>
    <w:p w14:paraId="08F649B8">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13.1投标人一旦参加投标，即被认为接受了本招标文件中的所有条件和规定。投标人必须严格按招标文件的要求编制投标文件，以便评委审核。否则，由此产生的一切后果由投标人承担。</w:t>
      </w:r>
    </w:p>
    <w:p w14:paraId="699355F6">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13.2投标人对采购内容中规定的技术参数、规格、数量和要求等必须最大限度的满足招标文件的相关要求。</w:t>
      </w:r>
    </w:p>
    <w:p w14:paraId="59C86412">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13.3推荐品牌有助于投标人选择所投产品，仅供参考，并无限制性，可以选择性能不低于推荐品牌的产品，但所投产品的技术参数，要最大限度满足招标文件提供的详细参数。</w:t>
      </w:r>
    </w:p>
    <w:p w14:paraId="29A687C3">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13.4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0F52C994">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13.5  投标人被视为充分熟悉本招标项目所在地的与履行合同有关的各种情况，包括但不限于：</w:t>
      </w:r>
    </w:p>
    <w:p w14:paraId="34C9EC98">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（1）国家对本次投标货物和服务的生产、安装调试、验收、维修等有关法律、法规及行业管理标准；</w:t>
      </w:r>
    </w:p>
    <w:p w14:paraId="5DFEE9E8">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（2）安徽省及滁州市等有关管理部门的相关规定；</w:t>
      </w:r>
    </w:p>
    <w:p w14:paraId="453DD3A1">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（3）采购人的相关场地情况、基础建设、电力供应情况及相关设计标准。</w:t>
      </w:r>
    </w:p>
    <w:p w14:paraId="674537BF">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本招标文件不再对上述情况进行描述。</w:t>
      </w:r>
    </w:p>
    <w:p w14:paraId="1AC95061">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13.6  凡投标人在我市公共资源交易活动中出现违法违规、破坏市场秩序等不良行为且被监管部门处罚的，一律在滁州市公共资源交易网等相关网站曝光。</w:t>
      </w:r>
    </w:p>
    <w:p w14:paraId="785C89B2">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13.7  投标人的不良行为、失信行为及行政处罚等效力不因企业名称的变更而改变。</w:t>
      </w:r>
    </w:p>
    <w:p w14:paraId="2164471E">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13.8  中标候选人无正当理由放弃中标候选人资格的，其将被记不良信息记录。</w:t>
      </w:r>
    </w:p>
    <w:p w14:paraId="0C1902FB">
      <w:pPr>
        <w:spacing w:beforeLines="50" w:afterLines="50" w:line="440" w:lineRule="exact"/>
        <w:jc w:val="center"/>
        <w:rPr>
          <w:rFonts w:ascii="黑体" w:hAnsi="黑体" w:eastAsia="黑体" w:cs="黑体"/>
          <w:b/>
          <w:color w:val="auto"/>
          <w:sz w:val="24"/>
          <w:szCs w:val="24"/>
        </w:rPr>
      </w:pPr>
      <w:bookmarkStart w:id="58" w:name="_Toc449028868"/>
      <w:r>
        <w:rPr>
          <w:rFonts w:hint="eastAsia" w:ascii="黑体" w:hAnsi="黑体" w:eastAsia="黑体" w:cs="黑体"/>
          <w:b/>
          <w:color w:val="auto"/>
          <w:sz w:val="24"/>
          <w:szCs w:val="24"/>
        </w:rPr>
        <w:t>（二）</w:t>
      </w:r>
      <w:bookmarkEnd w:id="58"/>
      <w:r>
        <w:rPr>
          <w:rFonts w:hint="eastAsia" w:ascii="黑体" w:hAnsi="黑体" w:eastAsia="黑体" w:cs="黑体"/>
          <w:b/>
          <w:color w:val="auto"/>
          <w:sz w:val="24"/>
          <w:szCs w:val="24"/>
        </w:rPr>
        <w:t>招标文件</w:t>
      </w:r>
    </w:p>
    <w:p w14:paraId="0098FC3D">
      <w:pPr>
        <w:spacing w:line="440" w:lineRule="exact"/>
        <w:ind w:firstLine="422" w:firstLineChars="200"/>
        <w:jc w:val="left"/>
        <w:rPr>
          <w:b/>
          <w:color w:val="auto"/>
          <w:szCs w:val="21"/>
        </w:rPr>
      </w:pPr>
      <w:r>
        <w:rPr>
          <w:rFonts w:hint="eastAsia"/>
          <w:b/>
          <w:color w:val="auto"/>
          <w:szCs w:val="21"/>
        </w:rPr>
        <w:t>14. 招标文件的编制依据</w:t>
      </w:r>
    </w:p>
    <w:p w14:paraId="62D22F9E">
      <w:pPr>
        <w:spacing w:line="440" w:lineRule="exact"/>
        <w:ind w:firstLine="420" w:firstLineChars="200"/>
        <w:jc w:val="left"/>
        <w:rPr>
          <w:rFonts w:ascii="宋体"/>
          <w:color w:val="auto"/>
          <w:szCs w:val="21"/>
        </w:rPr>
      </w:pPr>
      <w:r>
        <w:rPr>
          <w:rFonts w:hint="eastAsia" w:ascii="宋体"/>
          <w:color w:val="auto"/>
          <w:szCs w:val="21"/>
        </w:rPr>
        <w:t>根据</w:t>
      </w:r>
      <w:r>
        <w:rPr>
          <w:rFonts w:hint="eastAsia"/>
          <w:color w:val="auto"/>
        </w:rPr>
        <w:t>《中华人民共和国政府采购法》、《中华人民共和国政府采购法实施条例》</w:t>
      </w:r>
      <w:r>
        <w:rPr>
          <w:rFonts w:hint="eastAsia" w:ascii="宋体"/>
          <w:color w:val="auto"/>
          <w:szCs w:val="21"/>
        </w:rPr>
        <w:t>、《政府采购货物和服务招标投标管理办法》和</w:t>
      </w:r>
      <w:r>
        <w:rPr>
          <w:rFonts w:hint="eastAsia"/>
          <w:color w:val="auto"/>
        </w:rPr>
        <w:t>《中华人民共和国民法典》</w:t>
      </w:r>
      <w:r>
        <w:rPr>
          <w:rFonts w:hint="eastAsia" w:ascii="宋体"/>
          <w:color w:val="auto"/>
          <w:spacing w:val="-2"/>
          <w:szCs w:val="21"/>
        </w:rPr>
        <w:t>等相关法律法规和规章及部、省、市级规范性文件的规定，编制本招标文件。</w:t>
      </w:r>
    </w:p>
    <w:p w14:paraId="072EE91C">
      <w:pPr>
        <w:spacing w:line="440" w:lineRule="exact"/>
        <w:ind w:firstLine="422" w:firstLineChars="200"/>
        <w:jc w:val="left"/>
        <w:rPr>
          <w:b/>
          <w:color w:val="auto"/>
          <w:szCs w:val="21"/>
        </w:rPr>
      </w:pPr>
      <w:r>
        <w:rPr>
          <w:rFonts w:hint="eastAsia"/>
          <w:b/>
          <w:color w:val="auto"/>
          <w:szCs w:val="21"/>
        </w:rPr>
        <w:t>15. 招标文件的组成</w:t>
      </w:r>
    </w:p>
    <w:p w14:paraId="6148CD65">
      <w:pPr>
        <w:spacing w:line="440" w:lineRule="exact"/>
        <w:ind w:firstLine="420" w:firstLineChars="200"/>
        <w:jc w:val="left"/>
        <w:rPr>
          <w:rFonts w:ascii="宋体"/>
          <w:color w:val="auto"/>
          <w:szCs w:val="21"/>
        </w:rPr>
      </w:pPr>
      <w:r>
        <w:rPr>
          <w:rFonts w:hint="eastAsia" w:ascii="宋体"/>
          <w:color w:val="auto"/>
          <w:szCs w:val="21"/>
        </w:rPr>
        <w:t>15.1 招标文件包括内容：</w:t>
      </w:r>
    </w:p>
    <w:p w14:paraId="11D627D5">
      <w:pPr>
        <w:spacing w:line="440" w:lineRule="exact"/>
        <w:ind w:firstLine="420" w:firstLineChars="200"/>
        <w:jc w:val="left"/>
        <w:rPr>
          <w:rFonts w:ascii="宋体"/>
          <w:color w:val="auto"/>
          <w:szCs w:val="21"/>
        </w:rPr>
      </w:pPr>
      <w:r>
        <w:rPr>
          <w:rFonts w:hint="eastAsia" w:ascii="宋体"/>
          <w:color w:val="auto"/>
          <w:szCs w:val="21"/>
        </w:rPr>
        <w:t>第一章  招标公告</w:t>
      </w:r>
    </w:p>
    <w:p w14:paraId="35F474C9">
      <w:pPr>
        <w:spacing w:line="440" w:lineRule="exact"/>
        <w:ind w:firstLine="420" w:firstLineChars="200"/>
        <w:jc w:val="left"/>
        <w:rPr>
          <w:rFonts w:ascii="宋体"/>
          <w:color w:val="auto"/>
          <w:szCs w:val="21"/>
        </w:rPr>
      </w:pPr>
      <w:r>
        <w:rPr>
          <w:rFonts w:hint="eastAsia" w:ascii="宋体"/>
          <w:color w:val="auto"/>
          <w:szCs w:val="21"/>
        </w:rPr>
        <w:t>第二章  投标人须知</w:t>
      </w:r>
    </w:p>
    <w:p w14:paraId="13B61257">
      <w:pPr>
        <w:spacing w:line="440" w:lineRule="exact"/>
        <w:ind w:firstLine="420" w:firstLineChars="200"/>
        <w:jc w:val="left"/>
        <w:rPr>
          <w:rFonts w:ascii="宋体"/>
          <w:color w:val="auto"/>
          <w:szCs w:val="21"/>
        </w:rPr>
      </w:pPr>
      <w:r>
        <w:rPr>
          <w:rFonts w:hint="eastAsia" w:ascii="宋体"/>
          <w:color w:val="auto"/>
          <w:szCs w:val="21"/>
        </w:rPr>
        <w:t>第三章  评标办法</w:t>
      </w:r>
    </w:p>
    <w:p w14:paraId="68B0E410">
      <w:pPr>
        <w:spacing w:line="440" w:lineRule="exact"/>
        <w:ind w:firstLine="420" w:firstLineChars="200"/>
        <w:jc w:val="left"/>
        <w:rPr>
          <w:rFonts w:ascii="宋体"/>
          <w:color w:val="auto"/>
          <w:szCs w:val="21"/>
        </w:rPr>
      </w:pPr>
      <w:r>
        <w:rPr>
          <w:rFonts w:hint="eastAsia" w:ascii="宋体"/>
          <w:color w:val="auto"/>
          <w:szCs w:val="21"/>
        </w:rPr>
        <w:t>第四章  采购需求</w:t>
      </w:r>
    </w:p>
    <w:p w14:paraId="5CD03D0F">
      <w:pPr>
        <w:spacing w:line="440" w:lineRule="exact"/>
        <w:ind w:firstLine="420" w:firstLineChars="200"/>
        <w:jc w:val="left"/>
        <w:rPr>
          <w:rFonts w:ascii="宋体"/>
          <w:color w:val="auto"/>
          <w:szCs w:val="21"/>
        </w:rPr>
      </w:pPr>
      <w:r>
        <w:rPr>
          <w:rFonts w:hint="eastAsia" w:ascii="宋体"/>
          <w:color w:val="auto"/>
          <w:szCs w:val="21"/>
        </w:rPr>
        <w:t>第五章  合同条款及格式</w:t>
      </w:r>
    </w:p>
    <w:p w14:paraId="57CCCD62">
      <w:pPr>
        <w:spacing w:line="440" w:lineRule="exact"/>
        <w:ind w:firstLine="420" w:firstLineChars="200"/>
        <w:jc w:val="left"/>
        <w:rPr>
          <w:rFonts w:ascii="宋体"/>
          <w:color w:val="auto"/>
          <w:szCs w:val="21"/>
        </w:rPr>
      </w:pPr>
      <w:r>
        <w:rPr>
          <w:rFonts w:hint="eastAsia" w:ascii="宋体"/>
          <w:color w:val="auto"/>
          <w:szCs w:val="21"/>
        </w:rPr>
        <w:t>第六章  投标文件格式</w:t>
      </w:r>
    </w:p>
    <w:p w14:paraId="3A40F348">
      <w:pPr>
        <w:spacing w:line="440" w:lineRule="exact"/>
        <w:ind w:firstLine="420" w:firstLineChars="200"/>
        <w:jc w:val="left"/>
        <w:rPr>
          <w:rFonts w:ascii="宋体"/>
          <w:color w:val="auto"/>
          <w:szCs w:val="21"/>
        </w:rPr>
      </w:pPr>
      <w:r>
        <w:rPr>
          <w:rFonts w:hint="eastAsia" w:ascii="宋体"/>
          <w:color w:val="auto"/>
          <w:szCs w:val="21"/>
        </w:rPr>
        <w:t>15.2 除15.1款内容外，招标答疑亦为招标文件的组成部分，对采购人和投标人起约束作用。</w:t>
      </w:r>
    </w:p>
    <w:p w14:paraId="329DDA0F">
      <w:pPr>
        <w:spacing w:line="440" w:lineRule="exact"/>
        <w:ind w:firstLine="420" w:firstLineChars="200"/>
        <w:jc w:val="left"/>
        <w:rPr>
          <w:rFonts w:ascii="宋体"/>
          <w:color w:val="auto"/>
          <w:szCs w:val="21"/>
        </w:rPr>
      </w:pPr>
      <w:r>
        <w:rPr>
          <w:rFonts w:hint="eastAsia" w:ascii="宋体"/>
          <w:color w:val="auto"/>
          <w:szCs w:val="21"/>
        </w:rPr>
        <w:t>15.3投标人应仔细阅读和检查招标文件的全部内容。如发现缺页或附件不全，应及时向采购人提出，以便补齐。</w:t>
      </w:r>
    </w:p>
    <w:p w14:paraId="2CA1444B">
      <w:pPr>
        <w:spacing w:line="440" w:lineRule="exact"/>
        <w:ind w:firstLine="420" w:firstLineChars="200"/>
        <w:jc w:val="left"/>
        <w:rPr>
          <w:rFonts w:ascii="宋体"/>
          <w:color w:val="auto"/>
          <w:szCs w:val="21"/>
        </w:rPr>
      </w:pPr>
      <w:r>
        <w:rPr>
          <w:rFonts w:hint="eastAsia" w:ascii="宋体"/>
          <w:color w:val="auto"/>
          <w:szCs w:val="21"/>
        </w:rPr>
        <w:t>15.4 投标人可以对招标文件提出澄清（质疑）。</w:t>
      </w:r>
    </w:p>
    <w:p w14:paraId="76756830">
      <w:pPr>
        <w:spacing w:line="440" w:lineRule="exact"/>
        <w:ind w:firstLine="422" w:firstLineChars="200"/>
        <w:jc w:val="left"/>
        <w:rPr>
          <w:rFonts w:ascii="宋体"/>
          <w:b/>
          <w:bCs/>
          <w:color w:val="auto"/>
          <w:szCs w:val="21"/>
        </w:rPr>
      </w:pPr>
      <w:r>
        <w:rPr>
          <w:rFonts w:hint="eastAsia" w:ascii="宋体"/>
          <w:b/>
          <w:bCs/>
          <w:color w:val="auto"/>
          <w:szCs w:val="21"/>
        </w:rPr>
        <w:t>16. 招标文件的修改、补充、解释</w:t>
      </w:r>
    </w:p>
    <w:p w14:paraId="2F4B24B8">
      <w:pPr>
        <w:spacing w:line="440" w:lineRule="exact"/>
        <w:ind w:firstLine="420" w:firstLineChars="200"/>
        <w:jc w:val="left"/>
        <w:rPr>
          <w:rFonts w:ascii="宋体"/>
          <w:color w:val="auto"/>
          <w:szCs w:val="21"/>
        </w:rPr>
      </w:pPr>
      <w:r>
        <w:rPr>
          <w:rFonts w:hint="eastAsia" w:ascii="宋体"/>
          <w:color w:val="auto"/>
          <w:szCs w:val="21"/>
        </w:rPr>
        <w:t>16.1 招标文件发出后，采购人在规定的投标截止时间前可对招标文件进行必要的修改和补充，并以</w:t>
      </w:r>
      <w:r>
        <w:rPr>
          <w:rFonts w:hint="eastAsia"/>
          <w:color w:val="auto"/>
          <w:szCs w:val="21"/>
        </w:rPr>
        <w:t>更正</w:t>
      </w:r>
      <w:r>
        <w:rPr>
          <w:rFonts w:hint="eastAsia" w:ascii="宋体"/>
          <w:color w:val="auto"/>
          <w:szCs w:val="21"/>
        </w:rPr>
        <w:t>公告形式在</w:t>
      </w:r>
      <w:r>
        <w:rPr>
          <w:rFonts w:hint="eastAsia" w:hAnsi="宋体" w:cs="宋体"/>
          <w:color w:val="auto"/>
          <w:spacing w:val="-4"/>
          <w:szCs w:val="21"/>
        </w:rPr>
        <w:t>滁州市机电工程学校官网（http://www.cztc.edu.cn/）网站</w:t>
      </w:r>
      <w:r>
        <w:rPr>
          <w:rFonts w:hint="eastAsia" w:ascii="宋体" w:cs="宋体-18030"/>
          <w:color w:val="auto"/>
          <w:szCs w:val="21"/>
        </w:rPr>
        <w:t>予以公告，请各位投标人注意查看有关澄清内容，如不及时查看造成后果由投标人自负。</w:t>
      </w:r>
      <w:r>
        <w:rPr>
          <w:rFonts w:hint="eastAsia" w:ascii="宋体"/>
          <w:color w:val="auto"/>
          <w:szCs w:val="21"/>
        </w:rPr>
        <w:t>招标文件的修改、补充等内容作为招标文件的组成部分，具有约束作用。</w:t>
      </w:r>
    </w:p>
    <w:p w14:paraId="2E1476C3">
      <w:pPr>
        <w:spacing w:line="440" w:lineRule="exact"/>
        <w:ind w:firstLine="420" w:firstLineChars="200"/>
        <w:jc w:val="left"/>
        <w:rPr>
          <w:rFonts w:ascii="宋体"/>
          <w:bCs/>
          <w:color w:val="auto"/>
          <w:szCs w:val="21"/>
        </w:rPr>
      </w:pPr>
      <w:r>
        <w:rPr>
          <w:rFonts w:hint="eastAsia" w:ascii="宋体"/>
          <w:bCs/>
          <w:color w:val="auto"/>
          <w:szCs w:val="21"/>
        </w:rPr>
        <w:t>16.2 投标人应在投标截止时间前关注原采购信息发布媒体上有关本项目有无变更公告，如不及时查看造成后果由投标人自负。</w:t>
      </w:r>
    </w:p>
    <w:p w14:paraId="2D3E12B9">
      <w:pPr>
        <w:spacing w:line="440" w:lineRule="exact"/>
        <w:ind w:firstLine="420" w:firstLineChars="200"/>
        <w:jc w:val="left"/>
        <w:rPr>
          <w:rFonts w:ascii="宋体"/>
          <w:bCs/>
          <w:color w:val="auto"/>
          <w:szCs w:val="21"/>
        </w:rPr>
      </w:pPr>
      <w:r>
        <w:rPr>
          <w:rFonts w:hint="eastAsia" w:ascii="宋体"/>
          <w:bCs/>
          <w:color w:val="auto"/>
          <w:szCs w:val="21"/>
        </w:rPr>
        <w:t>16.3招标文件的解释</w:t>
      </w:r>
    </w:p>
    <w:p w14:paraId="4D7E0880">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（1）构成本招标文件的各个组成文件应互为解释，互为说明；</w:t>
      </w:r>
    </w:p>
    <w:p w14:paraId="63006EDD">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（2）同一组成文件中就同一事项的规定或约定不一致的，以编排顺序在后者为准；</w:t>
      </w:r>
    </w:p>
    <w:p w14:paraId="26CD53A6">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（3）如有不明确或不一致，构成合同文件组成内容的，以合同文件约定内容为准，且以专用合同条款约定的合同文件优先顺序解释；</w:t>
      </w:r>
    </w:p>
    <w:p w14:paraId="290F5E33">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（4）系统中提供的表格（或格式文件）与招标文件中不一致时，以招标文件中提供的为准；</w:t>
      </w:r>
    </w:p>
    <w:p w14:paraId="182ADE4B">
      <w:pPr>
        <w:spacing w:line="440" w:lineRule="exact"/>
        <w:ind w:firstLine="420" w:firstLineChars="200"/>
        <w:jc w:val="left"/>
        <w:rPr>
          <w:rFonts w:ascii="宋体"/>
          <w:color w:val="auto"/>
          <w:szCs w:val="21"/>
        </w:rPr>
      </w:pPr>
      <w:r>
        <w:rPr>
          <w:rFonts w:hint="eastAsia" w:ascii="宋体" w:hAnsi="宋体" w:cs="宋体"/>
          <w:color w:val="auto"/>
          <w:szCs w:val="21"/>
        </w:rPr>
        <w:t>（5）按本款前述规定仍不能形成结论的，由采购人</w:t>
      </w:r>
      <w:r>
        <w:rPr>
          <w:rFonts w:hint="eastAsia" w:ascii="宋体"/>
          <w:color w:val="auto"/>
          <w:szCs w:val="21"/>
        </w:rPr>
        <w:t>（或其委托的采购代理机构）</w:t>
      </w:r>
      <w:r>
        <w:rPr>
          <w:rFonts w:hint="eastAsia" w:ascii="宋体" w:hAnsi="宋体" w:cs="宋体"/>
          <w:color w:val="auto"/>
          <w:szCs w:val="21"/>
        </w:rPr>
        <w:t>负责解释。</w:t>
      </w:r>
    </w:p>
    <w:p w14:paraId="7A8DC40A">
      <w:pPr>
        <w:spacing w:line="440" w:lineRule="exact"/>
        <w:ind w:firstLine="422" w:firstLineChars="200"/>
        <w:jc w:val="left"/>
        <w:rPr>
          <w:rFonts w:ascii="宋体"/>
          <w:b/>
          <w:color w:val="auto"/>
          <w:szCs w:val="21"/>
        </w:rPr>
      </w:pPr>
      <w:r>
        <w:rPr>
          <w:rFonts w:hint="eastAsia"/>
          <w:b/>
          <w:color w:val="auto"/>
          <w:szCs w:val="21"/>
        </w:rPr>
        <w:t xml:space="preserve">17. </w:t>
      </w:r>
      <w:r>
        <w:rPr>
          <w:rFonts w:hint="eastAsia" w:ascii="宋体"/>
          <w:b/>
          <w:color w:val="auto"/>
          <w:szCs w:val="21"/>
        </w:rPr>
        <w:t>招标文件的发出</w:t>
      </w:r>
    </w:p>
    <w:p w14:paraId="0EB778CD">
      <w:pPr>
        <w:spacing w:line="440" w:lineRule="exact"/>
        <w:ind w:firstLine="420" w:firstLineChars="200"/>
        <w:jc w:val="left"/>
        <w:rPr>
          <w:rFonts w:ascii="宋体"/>
          <w:color w:val="auto"/>
          <w:szCs w:val="21"/>
        </w:rPr>
      </w:pPr>
      <w:r>
        <w:rPr>
          <w:rFonts w:hint="eastAsia" w:ascii="宋体"/>
          <w:color w:val="auto"/>
          <w:szCs w:val="21"/>
        </w:rPr>
        <w:t>17.1  招标文件、招标文件的澄清、修改、补充及招标答疑等均应报公共资源交易监督管理机构备案后，方可发出。</w:t>
      </w:r>
    </w:p>
    <w:p w14:paraId="745F0FF0">
      <w:pPr>
        <w:spacing w:beforeLines="100" w:afterLines="100" w:line="440" w:lineRule="exact"/>
        <w:jc w:val="center"/>
        <w:rPr>
          <w:rFonts w:ascii="宋体"/>
          <w:b/>
          <w:color w:val="auto"/>
          <w:sz w:val="28"/>
          <w:szCs w:val="28"/>
        </w:rPr>
      </w:pPr>
      <w:bookmarkStart w:id="59" w:name="_Toc449028869"/>
      <w:r>
        <w:rPr>
          <w:rFonts w:hint="eastAsia" w:ascii="宋体"/>
          <w:b/>
          <w:color w:val="auto"/>
          <w:sz w:val="28"/>
          <w:szCs w:val="28"/>
        </w:rPr>
        <w:t>（三）投标文件的编制</w:t>
      </w:r>
      <w:bookmarkEnd w:id="59"/>
    </w:p>
    <w:p w14:paraId="56D3B9A3">
      <w:pPr>
        <w:spacing w:line="440" w:lineRule="exact"/>
        <w:ind w:firstLine="422" w:firstLineChars="200"/>
        <w:jc w:val="left"/>
        <w:rPr>
          <w:rFonts w:ascii="宋体" w:cs="宋体"/>
          <w:b/>
          <w:color w:val="auto"/>
          <w:szCs w:val="21"/>
        </w:rPr>
      </w:pPr>
      <w:r>
        <w:rPr>
          <w:rFonts w:hint="eastAsia"/>
          <w:b/>
          <w:color w:val="auto"/>
          <w:szCs w:val="21"/>
        </w:rPr>
        <w:t xml:space="preserve">18. </w:t>
      </w:r>
      <w:r>
        <w:rPr>
          <w:rFonts w:hint="eastAsia" w:ascii="宋体" w:cs="宋体"/>
          <w:b/>
          <w:color w:val="auto"/>
          <w:szCs w:val="21"/>
        </w:rPr>
        <w:t>投标的语言及度量衡单位</w:t>
      </w:r>
    </w:p>
    <w:p w14:paraId="066FC2FA">
      <w:pPr>
        <w:spacing w:line="440" w:lineRule="exact"/>
        <w:ind w:firstLine="420" w:firstLineChars="200"/>
        <w:jc w:val="left"/>
        <w:rPr>
          <w:rFonts w:ascii="宋体"/>
          <w:color w:val="auto"/>
          <w:szCs w:val="21"/>
        </w:rPr>
      </w:pPr>
      <w:r>
        <w:rPr>
          <w:rFonts w:hint="eastAsia" w:ascii="宋体"/>
          <w:color w:val="auto"/>
          <w:szCs w:val="21"/>
        </w:rPr>
        <w:t>18.1投标人的投标文件、以及投标人与采购人就投标的所有往来函电，均须使用简体中文。</w:t>
      </w:r>
    </w:p>
    <w:p w14:paraId="7A4077C3">
      <w:pPr>
        <w:spacing w:line="440" w:lineRule="exact"/>
        <w:ind w:firstLine="420" w:firstLineChars="200"/>
        <w:jc w:val="left"/>
        <w:rPr>
          <w:rFonts w:ascii="宋体"/>
          <w:color w:val="auto"/>
          <w:szCs w:val="21"/>
        </w:rPr>
      </w:pPr>
      <w:r>
        <w:rPr>
          <w:rFonts w:hint="eastAsia" w:ascii="宋体"/>
          <w:color w:val="auto"/>
          <w:szCs w:val="21"/>
        </w:rPr>
        <w:t>18.2除招标文件中另有规定外，投标文件所使用的度量衡均须采用法定计量单位。</w:t>
      </w:r>
    </w:p>
    <w:p w14:paraId="44BF9D30">
      <w:pPr>
        <w:spacing w:line="440" w:lineRule="exact"/>
        <w:ind w:firstLine="422" w:firstLineChars="200"/>
        <w:jc w:val="left"/>
        <w:rPr>
          <w:rFonts w:ascii="宋体" w:hAnsi="宋体"/>
          <w:b/>
          <w:color w:val="auto"/>
          <w:szCs w:val="21"/>
        </w:rPr>
      </w:pPr>
      <w:r>
        <w:rPr>
          <w:rFonts w:hint="eastAsia"/>
          <w:b/>
          <w:color w:val="auto"/>
          <w:szCs w:val="21"/>
        </w:rPr>
        <w:t xml:space="preserve">19. </w:t>
      </w:r>
      <w:r>
        <w:rPr>
          <w:rFonts w:hint="eastAsia" w:ascii="宋体" w:hAnsi="宋体"/>
          <w:b/>
          <w:color w:val="auto"/>
          <w:szCs w:val="21"/>
        </w:rPr>
        <w:t>投标文件的组成、上传说明</w:t>
      </w:r>
    </w:p>
    <w:p w14:paraId="7A5B9426">
      <w:pPr>
        <w:spacing w:line="440" w:lineRule="exact"/>
        <w:ind w:firstLine="422" w:firstLineChars="200"/>
        <w:jc w:val="left"/>
        <w:rPr>
          <w:rFonts w:ascii="宋体" w:hAnsi="宋体"/>
          <w:color w:val="auto"/>
          <w:szCs w:val="21"/>
        </w:rPr>
      </w:pPr>
      <w:r>
        <w:rPr>
          <w:rFonts w:hint="eastAsia" w:ascii="宋体" w:hAnsi="宋体" w:cs="宋体"/>
          <w:b/>
          <w:color w:val="auto"/>
          <w:szCs w:val="21"/>
        </w:rPr>
        <w:t>19.</w:t>
      </w:r>
      <w:r>
        <w:rPr>
          <w:rFonts w:ascii="宋体" w:hAnsi="宋体" w:cs="宋体"/>
          <w:b/>
          <w:color w:val="auto"/>
          <w:szCs w:val="21"/>
        </w:rPr>
        <w:t>1</w:t>
      </w:r>
      <w:r>
        <w:rPr>
          <w:rFonts w:hint="eastAsia" w:ascii="宋体" w:hAnsi="宋体" w:cs="宋体"/>
          <w:b/>
          <w:color w:val="auto"/>
          <w:szCs w:val="21"/>
        </w:rPr>
        <w:t>投标文件的组成</w:t>
      </w:r>
    </w:p>
    <w:p w14:paraId="676093A1">
      <w:pPr>
        <w:spacing w:line="440" w:lineRule="exact"/>
        <w:ind w:firstLine="420" w:firstLineChars="200"/>
        <w:jc w:val="left"/>
        <w:rPr>
          <w:rFonts w:ascii="宋体"/>
          <w:color w:val="auto"/>
          <w:szCs w:val="21"/>
        </w:rPr>
      </w:pPr>
      <w:r>
        <w:rPr>
          <w:rFonts w:hint="eastAsia" w:ascii="宋体" w:hAnsi="宋体"/>
          <w:color w:val="auto"/>
          <w:szCs w:val="21"/>
        </w:rPr>
        <w:t>投标文件由投标文件一（资信证明文件）、投标文件二（技术标）和投标文件三（商务标）三部分组成。具体内容详见第六章投标文件格式内容。</w:t>
      </w:r>
    </w:p>
    <w:p w14:paraId="352B86D9">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19.2投标文件的编制</w:t>
      </w:r>
    </w:p>
    <w:p w14:paraId="7B691699">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（1）投标文件应按第六章“投标文件格式”进行编写，如有必要，可以增加附页，作为投标文件的组成部分。</w:t>
      </w:r>
    </w:p>
    <w:p w14:paraId="4432E62A">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（2）本次招标投标需要提供纸质投标文件，投标人应按照招标投标的要求，递交纸质投标文件。</w:t>
      </w:r>
    </w:p>
    <w:p w14:paraId="5BF82904">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（3）递交的投标文件应按招标文件规定的格式由投标人的法定代表人和投标人分别签章。</w:t>
      </w:r>
    </w:p>
    <w:p w14:paraId="5CADDFD3">
      <w:pPr>
        <w:spacing w:line="440" w:lineRule="exact"/>
        <w:ind w:firstLine="422" w:firstLineChars="200"/>
        <w:jc w:val="left"/>
        <w:rPr>
          <w:rFonts w:ascii="宋体"/>
          <w:color w:val="auto"/>
          <w:szCs w:val="21"/>
        </w:rPr>
      </w:pPr>
      <w:r>
        <w:rPr>
          <w:rFonts w:hint="eastAsia" w:ascii="宋体"/>
          <w:b/>
          <w:color w:val="auto"/>
          <w:szCs w:val="21"/>
        </w:rPr>
        <w:t>20</w:t>
      </w:r>
      <w:r>
        <w:rPr>
          <w:rFonts w:hint="eastAsia" w:ascii="宋体"/>
          <w:color w:val="auto"/>
          <w:szCs w:val="21"/>
        </w:rPr>
        <w:t>.</w:t>
      </w:r>
      <w:r>
        <w:rPr>
          <w:rFonts w:hint="eastAsia" w:ascii="宋体"/>
          <w:b/>
          <w:color w:val="auto"/>
          <w:szCs w:val="21"/>
        </w:rPr>
        <w:t>投标报价</w:t>
      </w:r>
    </w:p>
    <w:p w14:paraId="5C89D49C">
      <w:pPr>
        <w:spacing w:line="400" w:lineRule="exact"/>
        <w:ind w:firstLine="403" w:firstLineChars="192"/>
        <w:rPr>
          <w:rFonts w:ascii="宋体"/>
          <w:color w:val="auto"/>
          <w:szCs w:val="21"/>
        </w:rPr>
      </w:pPr>
      <w:r>
        <w:rPr>
          <w:rFonts w:hint="eastAsia" w:ascii="宋体"/>
          <w:color w:val="auto"/>
          <w:szCs w:val="21"/>
        </w:rPr>
        <w:t>20.1投标报价文件中的单价和总价全部采用人民币表示。投标人的报价应含有服务（货物）、利润、税金、政策性文件规定及合同包含的所有风险、责任、义务等，即为完成招标文件要求的服务（货物）内容所包含的一切应有费用，</w:t>
      </w:r>
      <w:r>
        <w:rPr>
          <w:rFonts w:hint="eastAsia" w:ascii="宋体" w:hAnsi="宋体"/>
          <w:color w:val="auto"/>
          <w:szCs w:val="21"/>
        </w:rPr>
        <w:t>中标价格今后将不作任何调整，</w:t>
      </w:r>
      <w:r>
        <w:rPr>
          <w:rFonts w:hint="eastAsia" w:ascii="宋体"/>
          <w:color w:val="auto"/>
          <w:szCs w:val="21"/>
        </w:rPr>
        <w:t>采购人后期不再追加费用，投标供应商自行考虑投标风险。</w:t>
      </w:r>
    </w:p>
    <w:p w14:paraId="1A830209">
      <w:pPr>
        <w:spacing w:line="440" w:lineRule="exact"/>
        <w:ind w:firstLine="420" w:firstLineChars="200"/>
        <w:rPr>
          <w:rFonts w:ascii="宋体"/>
          <w:color w:val="auto"/>
          <w:szCs w:val="21"/>
        </w:rPr>
      </w:pPr>
      <w:r>
        <w:rPr>
          <w:rFonts w:hint="eastAsia" w:ascii="宋体"/>
          <w:color w:val="auto"/>
          <w:szCs w:val="21"/>
        </w:rPr>
        <w:t>20.2分项报价清单上应清楚地标明投标人拟提供货物的名称、型号、生产厂家、数量、单价和总价。</w:t>
      </w:r>
    </w:p>
    <w:p w14:paraId="221E2F6D">
      <w:pPr>
        <w:spacing w:line="440" w:lineRule="exact"/>
        <w:ind w:firstLine="420" w:firstLineChars="200"/>
        <w:rPr>
          <w:rFonts w:ascii="宋体"/>
          <w:color w:val="auto"/>
          <w:szCs w:val="21"/>
        </w:rPr>
      </w:pPr>
      <w:r>
        <w:rPr>
          <w:rFonts w:hint="eastAsia" w:ascii="宋体"/>
          <w:color w:val="auto"/>
          <w:szCs w:val="21"/>
        </w:rPr>
        <w:t>20.3投标人只允许有一个方案、一个报价。</w:t>
      </w:r>
    </w:p>
    <w:p w14:paraId="2625F451">
      <w:pPr>
        <w:spacing w:line="440" w:lineRule="exact"/>
        <w:ind w:firstLine="420" w:firstLineChars="200"/>
        <w:rPr>
          <w:rFonts w:ascii="宋体"/>
          <w:color w:val="auto"/>
          <w:szCs w:val="21"/>
        </w:rPr>
      </w:pPr>
      <w:r>
        <w:rPr>
          <w:rFonts w:hint="eastAsia" w:ascii="宋体"/>
          <w:color w:val="auto"/>
          <w:szCs w:val="21"/>
        </w:rPr>
        <w:t>20.4投标人应按“采购需求及技术参数要求”所列货物逐项进行单价报价，并最终按货物总量乘以货物单价报总价，不得采用总价下浮的方式进行报价。</w:t>
      </w:r>
      <w:r>
        <w:rPr>
          <w:rFonts w:hint="eastAsia" w:ascii="宋体" w:hAnsi="宋体"/>
          <w:color w:val="auto"/>
          <w:szCs w:val="21"/>
        </w:rPr>
        <w:t>综合单价包括国家对中标单位征收的各种税费等所有一切费用，综合单价今后将不作任何调整。投标人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p w14:paraId="79ADCEB1">
      <w:pPr>
        <w:spacing w:line="440" w:lineRule="exact"/>
        <w:ind w:firstLine="420" w:firstLineChars="200"/>
        <w:rPr>
          <w:rFonts w:ascii="宋体"/>
          <w:color w:val="auto"/>
          <w:szCs w:val="21"/>
        </w:rPr>
      </w:pPr>
      <w:r>
        <w:rPr>
          <w:rFonts w:hint="eastAsia" w:ascii="宋体"/>
          <w:color w:val="auto"/>
          <w:szCs w:val="21"/>
        </w:rPr>
        <w:t>20.5投标报价的价格是完成项目全部内容（包括后期的相关服务）交付验收的价格，其总价即为履行合同的固定总价。</w:t>
      </w:r>
    </w:p>
    <w:p w14:paraId="77FDF5A4">
      <w:pPr>
        <w:spacing w:line="440" w:lineRule="exact"/>
        <w:ind w:firstLine="420" w:firstLineChars="200"/>
        <w:rPr>
          <w:rFonts w:ascii="宋体"/>
          <w:color w:val="auto"/>
          <w:szCs w:val="21"/>
        </w:rPr>
      </w:pPr>
      <w:r>
        <w:rPr>
          <w:rFonts w:hint="eastAsia" w:ascii="宋体"/>
          <w:color w:val="auto"/>
          <w:szCs w:val="21"/>
        </w:rPr>
        <w:t>20.6技术要求中规定的安装、调试和培训费用应包括在投标价格中。投标文件报价为含税价，采购人不再为此次招标支付任何费用。</w:t>
      </w:r>
    </w:p>
    <w:p w14:paraId="04918567">
      <w:pPr>
        <w:spacing w:line="440" w:lineRule="exact"/>
        <w:ind w:firstLine="420" w:firstLineChars="200"/>
        <w:rPr>
          <w:rFonts w:ascii="宋体"/>
          <w:color w:val="auto"/>
          <w:szCs w:val="21"/>
        </w:rPr>
      </w:pPr>
      <w:r>
        <w:rPr>
          <w:rFonts w:hint="eastAsia" w:ascii="宋体"/>
          <w:color w:val="auto"/>
          <w:szCs w:val="21"/>
        </w:rPr>
        <w:t>20.7投标报价应由法定代表人或被授权人签署。</w:t>
      </w:r>
    </w:p>
    <w:p w14:paraId="64BB6EE2">
      <w:pPr>
        <w:spacing w:line="440" w:lineRule="exact"/>
        <w:ind w:firstLine="420" w:firstLineChars="200"/>
        <w:rPr>
          <w:rFonts w:ascii="宋体"/>
          <w:bCs/>
          <w:color w:val="auto"/>
          <w:szCs w:val="21"/>
        </w:rPr>
      </w:pPr>
      <w:r>
        <w:rPr>
          <w:rFonts w:hint="eastAsia" w:ascii="宋体"/>
          <w:color w:val="auto"/>
          <w:szCs w:val="21"/>
        </w:rPr>
        <w:t>20</w:t>
      </w:r>
      <w:r>
        <w:rPr>
          <w:rFonts w:hint="eastAsia" w:ascii="宋体"/>
          <w:bCs/>
          <w:color w:val="auto"/>
          <w:szCs w:val="21"/>
        </w:rPr>
        <w:t>.8投标人的报价不得高于本次招标最高限价</w:t>
      </w:r>
      <w:r>
        <w:rPr>
          <w:rFonts w:hint="eastAsia" w:ascii="宋体" w:hAnsi="宋体"/>
          <w:b/>
          <w:color w:val="auto"/>
          <w:szCs w:val="21"/>
        </w:rPr>
        <w:t>，</w:t>
      </w:r>
      <w:r>
        <w:rPr>
          <w:rFonts w:hint="eastAsia" w:ascii="宋体" w:hAnsi="宋体"/>
          <w:b/>
          <w:bCs/>
          <w:color w:val="auto"/>
          <w:szCs w:val="21"/>
        </w:rPr>
        <w:t>否则将作为无效投标处理。</w:t>
      </w:r>
    </w:p>
    <w:p w14:paraId="0EFFBD71">
      <w:pPr>
        <w:spacing w:line="440" w:lineRule="exact"/>
        <w:ind w:firstLine="420" w:firstLineChars="200"/>
        <w:rPr>
          <w:rFonts w:ascii="宋体"/>
          <w:color w:val="auto"/>
          <w:szCs w:val="21"/>
        </w:rPr>
      </w:pPr>
      <w:r>
        <w:rPr>
          <w:rFonts w:hint="eastAsia" w:ascii="宋体"/>
          <w:color w:val="auto"/>
          <w:szCs w:val="21"/>
        </w:rPr>
        <w:t>20.9如投标文件中未列明全面实现投标货物功能而必须配置的配套或辅助设施及相应技术措施的费用，这些费用将被视为已包含在总投标价中。</w:t>
      </w:r>
    </w:p>
    <w:p w14:paraId="6171AA0D">
      <w:pPr>
        <w:spacing w:line="440" w:lineRule="exact"/>
        <w:ind w:firstLine="420" w:firstLineChars="200"/>
        <w:rPr>
          <w:rFonts w:ascii="宋体"/>
          <w:color w:val="auto"/>
          <w:szCs w:val="21"/>
        </w:rPr>
      </w:pPr>
      <w:r>
        <w:rPr>
          <w:rFonts w:hint="eastAsia" w:ascii="宋体"/>
          <w:color w:val="auto"/>
          <w:szCs w:val="21"/>
        </w:rPr>
        <w:t>20.10总投标价中不得包含招标文件要求以外的内容，否则，在评标时不予核减，但在授予合同时，采购人有权将这部分价格从其中标价格中扣除。</w:t>
      </w:r>
    </w:p>
    <w:p w14:paraId="2BB11C2D">
      <w:pPr>
        <w:spacing w:line="440" w:lineRule="exact"/>
        <w:ind w:firstLine="403" w:firstLineChars="192"/>
        <w:rPr>
          <w:rFonts w:ascii="宋体"/>
          <w:color w:val="auto"/>
          <w:szCs w:val="21"/>
        </w:rPr>
      </w:pPr>
      <w:r>
        <w:rPr>
          <w:rFonts w:hint="eastAsia" w:ascii="宋体"/>
          <w:color w:val="auto"/>
          <w:szCs w:val="21"/>
        </w:rPr>
        <w:t>20.11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2677697">
      <w:pPr>
        <w:spacing w:line="440" w:lineRule="exact"/>
        <w:ind w:firstLine="403" w:firstLineChars="192"/>
        <w:rPr>
          <w:rFonts w:ascii="宋体"/>
          <w:color w:val="auto"/>
          <w:szCs w:val="21"/>
        </w:rPr>
      </w:pPr>
      <w:r>
        <w:rPr>
          <w:rFonts w:hint="eastAsia" w:ascii="宋体"/>
          <w:color w:val="auto"/>
          <w:szCs w:val="21"/>
        </w:rPr>
        <w:t>20.12投标人不得对从第三方采购货物的随机备品、备件另行收费，否则在计算评标价时这部分费用将不予扣除，在授予合同时将从中标价格中扣除该部分费用。</w:t>
      </w:r>
    </w:p>
    <w:p w14:paraId="453FEE4D">
      <w:pPr>
        <w:spacing w:line="440" w:lineRule="exact"/>
        <w:ind w:firstLine="403" w:firstLineChars="192"/>
        <w:rPr>
          <w:rFonts w:ascii="宋体"/>
          <w:color w:val="auto"/>
          <w:szCs w:val="21"/>
        </w:rPr>
      </w:pPr>
      <w:r>
        <w:rPr>
          <w:rFonts w:hint="eastAsia" w:ascii="宋体"/>
          <w:color w:val="auto"/>
          <w:szCs w:val="21"/>
        </w:rPr>
        <w:t>20.13投标人应根据货物的状况列出随机备品备件的清单和数量，并将该备品备件价格计入总投标价，若所提供的产品无需备件，则应在投标文件中说明；无论投标人在报价中列明随机备品备件的数量及价格多少，在质保期内采购人均无需为维护维修保养所需的专用工具和备品备件另行支付费用。</w:t>
      </w:r>
    </w:p>
    <w:p w14:paraId="2277CE75">
      <w:pPr>
        <w:spacing w:line="440" w:lineRule="exact"/>
        <w:ind w:firstLine="422" w:firstLineChars="200"/>
        <w:jc w:val="left"/>
        <w:rPr>
          <w:rFonts w:ascii="宋体"/>
          <w:b/>
          <w:color w:val="auto"/>
          <w:szCs w:val="21"/>
        </w:rPr>
      </w:pPr>
      <w:r>
        <w:rPr>
          <w:rFonts w:hint="eastAsia" w:ascii="宋体"/>
          <w:b/>
          <w:color w:val="auto"/>
          <w:szCs w:val="21"/>
        </w:rPr>
        <w:t>21. 投标有效期</w:t>
      </w:r>
    </w:p>
    <w:p w14:paraId="6FB0A6BD">
      <w:pPr>
        <w:spacing w:line="440" w:lineRule="exact"/>
        <w:ind w:firstLine="420" w:firstLineChars="200"/>
        <w:jc w:val="left"/>
        <w:rPr>
          <w:rFonts w:ascii="宋体"/>
          <w:color w:val="auto"/>
          <w:szCs w:val="21"/>
        </w:rPr>
      </w:pPr>
      <w:r>
        <w:rPr>
          <w:rFonts w:hint="eastAsia" w:ascii="宋体"/>
          <w:color w:val="auto"/>
          <w:szCs w:val="21"/>
        </w:rPr>
        <w:t>21.1 投标有效期见投标人须知前附表。</w:t>
      </w:r>
    </w:p>
    <w:p w14:paraId="1A0A62EA">
      <w:pPr>
        <w:spacing w:line="440" w:lineRule="exact"/>
        <w:ind w:firstLine="420" w:firstLineChars="200"/>
        <w:jc w:val="left"/>
        <w:rPr>
          <w:rFonts w:ascii="宋体"/>
          <w:color w:val="auto"/>
          <w:szCs w:val="21"/>
        </w:rPr>
      </w:pPr>
      <w:r>
        <w:rPr>
          <w:rFonts w:hint="eastAsia" w:ascii="宋体"/>
          <w:color w:val="auto"/>
          <w:szCs w:val="21"/>
        </w:rPr>
        <w:t>21.2在投标有效期内，投标人撤销或修改其投标文件的，应承担招标文件和法律规定的责任。</w:t>
      </w:r>
    </w:p>
    <w:p w14:paraId="2F8CBA75">
      <w:pPr>
        <w:spacing w:line="440" w:lineRule="exact"/>
        <w:ind w:firstLine="420" w:firstLineChars="200"/>
        <w:jc w:val="left"/>
        <w:rPr>
          <w:rFonts w:ascii="宋体"/>
          <w:color w:val="auto"/>
          <w:szCs w:val="21"/>
        </w:rPr>
      </w:pPr>
      <w:r>
        <w:rPr>
          <w:rFonts w:hint="eastAsia" w:ascii="宋体"/>
          <w:color w:val="auto"/>
          <w:szCs w:val="21"/>
        </w:rPr>
        <w:t>21.3出现特殊情况需要延长投标有效期的，采购人以书面形式通知所有投标人延长投标有效期。投标人同意延长的，不得要求或被允许修改或撤销其投标文件；投标人拒绝延长的，其投标失效。</w:t>
      </w:r>
    </w:p>
    <w:p w14:paraId="1DBEAB70">
      <w:pPr>
        <w:spacing w:line="440" w:lineRule="exact"/>
        <w:ind w:firstLine="422" w:firstLineChars="200"/>
        <w:jc w:val="left"/>
        <w:rPr>
          <w:rFonts w:ascii="宋体"/>
          <w:b/>
          <w:color w:val="auto"/>
          <w:szCs w:val="21"/>
        </w:rPr>
      </w:pPr>
      <w:r>
        <w:rPr>
          <w:rFonts w:hint="eastAsia" w:ascii="宋体"/>
          <w:b/>
          <w:color w:val="auto"/>
          <w:szCs w:val="21"/>
        </w:rPr>
        <w:t>22. 投标保证金</w:t>
      </w:r>
    </w:p>
    <w:p w14:paraId="75575D68">
      <w:pPr>
        <w:spacing w:line="440" w:lineRule="exact"/>
        <w:ind w:firstLine="420" w:firstLineChars="200"/>
        <w:jc w:val="left"/>
        <w:rPr>
          <w:rFonts w:ascii="宋体" w:hAnsi="Calibri"/>
          <w:color w:val="auto"/>
          <w:szCs w:val="21"/>
        </w:rPr>
      </w:pPr>
      <w:r>
        <w:rPr>
          <w:rFonts w:hint="eastAsia" w:ascii="宋体"/>
          <w:color w:val="auto"/>
          <w:szCs w:val="21"/>
        </w:rPr>
        <w:t>22.1</w:t>
      </w:r>
      <w:r>
        <w:rPr>
          <w:rFonts w:hint="eastAsia" w:ascii="宋体" w:hAnsi="Calibri"/>
          <w:color w:val="auto"/>
          <w:szCs w:val="21"/>
        </w:rPr>
        <w:t>本项目不缴纳投标保证金。</w:t>
      </w:r>
    </w:p>
    <w:p w14:paraId="740191D6">
      <w:pPr>
        <w:spacing w:line="440" w:lineRule="exact"/>
        <w:jc w:val="center"/>
        <w:rPr>
          <w:rFonts w:ascii="黑体" w:eastAsia="黑体"/>
          <w:color w:val="auto"/>
          <w:sz w:val="28"/>
          <w:szCs w:val="28"/>
        </w:rPr>
      </w:pPr>
      <w:bookmarkStart w:id="60" w:name="_Toc449028870"/>
      <w:r>
        <w:rPr>
          <w:rFonts w:hint="eastAsia" w:ascii="黑体" w:eastAsia="黑体"/>
          <w:color w:val="auto"/>
          <w:sz w:val="28"/>
          <w:szCs w:val="28"/>
        </w:rPr>
        <w:t>（四）投标文件的递交</w:t>
      </w:r>
      <w:bookmarkEnd w:id="60"/>
    </w:p>
    <w:p w14:paraId="386D3CF9">
      <w:pPr>
        <w:spacing w:line="360" w:lineRule="auto"/>
        <w:ind w:firstLine="422" w:firstLineChars="200"/>
        <w:jc w:val="left"/>
        <w:rPr>
          <w:rFonts w:ascii="宋体" w:hAnsi="宋体" w:cs="宋体"/>
          <w:b/>
          <w:color w:val="auto"/>
          <w:szCs w:val="21"/>
        </w:rPr>
      </w:pPr>
      <w:bookmarkStart w:id="61" w:name="_Toc449028871"/>
      <w:r>
        <w:rPr>
          <w:rFonts w:hint="eastAsia" w:ascii="宋体" w:hAnsi="宋体" w:cs="宋体"/>
          <w:b/>
          <w:color w:val="auto"/>
          <w:szCs w:val="21"/>
        </w:rPr>
        <w:t>23. 投标文件的份数和签署</w:t>
      </w:r>
    </w:p>
    <w:p w14:paraId="6601F604">
      <w:pPr>
        <w:pStyle w:val="39"/>
        <w:ind w:left="0" w:leftChars="0" w:firstLine="422"/>
        <w:rPr>
          <w:rFonts w:hAnsi="宋体"/>
          <w:b/>
          <w:color w:val="auto"/>
          <w:szCs w:val="21"/>
        </w:rPr>
      </w:pPr>
      <w:r>
        <w:rPr>
          <w:rFonts w:hint="eastAsia" w:hAnsi="宋体"/>
          <w:b/>
          <w:color w:val="auto"/>
          <w:szCs w:val="21"/>
        </w:rPr>
        <w:t>23.1份数：正本1份，副本2份，正本、副本密封在一个档案袋内。</w:t>
      </w:r>
    </w:p>
    <w:p w14:paraId="28ADB6C9">
      <w:pPr>
        <w:spacing w:line="360" w:lineRule="auto"/>
        <w:ind w:firstLine="422" w:firstLineChars="200"/>
        <w:jc w:val="left"/>
        <w:rPr>
          <w:rFonts w:ascii="宋体" w:hAnsi="宋体" w:cs="宋体"/>
          <w:color w:val="auto"/>
          <w:szCs w:val="21"/>
        </w:rPr>
      </w:pPr>
      <w:r>
        <w:rPr>
          <w:rFonts w:hint="eastAsia" w:ascii="宋体"/>
          <w:b/>
          <w:bCs/>
          <w:color w:val="auto"/>
          <w:szCs w:val="21"/>
        </w:rPr>
        <w:t xml:space="preserve">23.2  </w:t>
      </w:r>
      <w:r>
        <w:rPr>
          <w:rFonts w:hint="eastAsia" w:ascii="宋体" w:hAnsi="宋体"/>
          <w:b/>
          <w:color w:val="auto"/>
          <w:szCs w:val="21"/>
        </w:rPr>
        <w:t>投标文件须按格式文件要求签字或盖章，否则经评委会一致后, 按照无效投标处理</w:t>
      </w:r>
      <w:r>
        <w:rPr>
          <w:rFonts w:hint="eastAsia" w:ascii="宋体" w:hAnsi="宋体" w:cs="宋体"/>
          <w:b/>
          <w:color w:val="auto"/>
          <w:szCs w:val="21"/>
        </w:rPr>
        <w:t>。</w:t>
      </w:r>
    </w:p>
    <w:p w14:paraId="04DEA194">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24. 投标文件的提交</w:t>
      </w:r>
    </w:p>
    <w:p w14:paraId="2CD45330">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24.1 投标人应在投标人须知前附表规定的投标截止时间前在递交投标文件。未在开标截止时间前递交有效投标文件的，开标现场不予接收，投标将被拒绝。</w:t>
      </w:r>
    </w:p>
    <w:p w14:paraId="3647BF71">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25．投标文件的补充、修改与撤回</w:t>
      </w:r>
    </w:p>
    <w:p w14:paraId="730084AF">
      <w:pPr>
        <w:autoSpaceDE w:val="0"/>
        <w:autoSpaceDN w:val="0"/>
        <w:adjustRightIn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25.1在规定的投标截止时间前，投标人可以撤回已递交的投标文件，开标时以投标截止时间前投标人最终递交的投标文件为准。</w:t>
      </w:r>
    </w:p>
    <w:p w14:paraId="6FABDB10">
      <w:pPr>
        <w:spacing w:line="440" w:lineRule="exact"/>
        <w:jc w:val="center"/>
        <w:rPr>
          <w:rFonts w:ascii="黑体" w:eastAsia="黑体"/>
          <w:color w:val="auto"/>
          <w:sz w:val="28"/>
          <w:szCs w:val="28"/>
        </w:rPr>
      </w:pPr>
      <w:r>
        <w:rPr>
          <w:rFonts w:hint="eastAsia" w:ascii="黑体" w:eastAsia="黑体"/>
          <w:color w:val="auto"/>
          <w:sz w:val="28"/>
          <w:szCs w:val="28"/>
        </w:rPr>
        <w:t>（五）开标、评标和定标</w:t>
      </w:r>
      <w:bookmarkEnd w:id="61"/>
    </w:p>
    <w:p w14:paraId="7756D53B">
      <w:pPr>
        <w:spacing w:line="440" w:lineRule="exact"/>
        <w:ind w:firstLine="422" w:firstLineChars="200"/>
        <w:jc w:val="left"/>
        <w:rPr>
          <w:rFonts w:ascii="宋体"/>
          <w:b/>
          <w:color w:val="auto"/>
          <w:szCs w:val="21"/>
        </w:rPr>
      </w:pPr>
      <w:r>
        <w:rPr>
          <w:rFonts w:hint="eastAsia" w:ascii="宋体"/>
          <w:b/>
          <w:color w:val="auto"/>
          <w:szCs w:val="21"/>
        </w:rPr>
        <w:t>26. 开标</w:t>
      </w:r>
    </w:p>
    <w:p w14:paraId="65352E93">
      <w:pPr>
        <w:spacing w:line="440" w:lineRule="exact"/>
        <w:ind w:firstLine="420" w:firstLineChars="200"/>
        <w:jc w:val="left"/>
        <w:rPr>
          <w:rFonts w:ascii="宋体"/>
          <w:color w:val="auto"/>
          <w:szCs w:val="21"/>
        </w:rPr>
      </w:pPr>
      <w:r>
        <w:rPr>
          <w:rFonts w:hint="eastAsia" w:ascii="宋体"/>
          <w:color w:val="auto"/>
          <w:szCs w:val="21"/>
        </w:rPr>
        <w:t>26.1  开标的时间和地点</w:t>
      </w:r>
    </w:p>
    <w:p w14:paraId="35ACCC7B">
      <w:pPr>
        <w:spacing w:line="440" w:lineRule="exact"/>
        <w:ind w:firstLine="420" w:firstLineChars="200"/>
        <w:jc w:val="left"/>
        <w:rPr>
          <w:rFonts w:ascii="宋体"/>
          <w:color w:val="auto"/>
          <w:szCs w:val="21"/>
        </w:rPr>
      </w:pPr>
      <w:r>
        <w:rPr>
          <w:rFonts w:hint="eastAsia" w:ascii="宋体"/>
          <w:color w:val="auto"/>
          <w:szCs w:val="21"/>
        </w:rPr>
        <w:t>26.1.1采购人按招标公告中的开标时间和地点公开开标，并邀请所有投标人参加。</w:t>
      </w:r>
    </w:p>
    <w:p w14:paraId="5D913B70">
      <w:pPr>
        <w:spacing w:line="440" w:lineRule="exact"/>
        <w:ind w:firstLine="420" w:firstLineChars="200"/>
        <w:jc w:val="left"/>
        <w:rPr>
          <w:rFonts w:ascii="宋体"/>
          <w:color w:val="auto"/>
          <w:szCs w:val="21"/>
        </w:rPr>
      </w:pPr>
      <w:r>
        <w:rPr>
          <w:rFonts w:hint="eastAsia" w:ascii="宋体"/>
          <w:color w:val="auto"/>
          <w:szCs w:val="21"/>
        </w:rPr>
        <w:t>26.2  参与开标的监督部门</w:t>
      </w:r>
    </w:p>
    <w:p w14:paraId="1C7957C5">
      <w:pPr>
        <w:spacing w:line="440" w:lineRule="exact"/>
        <w:ind w:firstLine="420" w:firstLineChars="200"/>
        <w:jc w:val="left"/>
        <w:rPr>
          <w:rFonts w:ascii="宋体"/>
          <w:color w:val="auto"/>
          <w:szCs w:val="21"/>
        </w:rPr>
      </w:pPr>
      <w:r>
        <w:rPr>
          <w:rFonts w:hint="eastAsia" w:ascii="宋体"/>
          <w:color w:val="auto"/>
          <w:szCs w:val="21"/>
        </w:rPr>
        <w:t>26.2.1</w:t>
      </w:r>
      <w:r>
        <w:rPr>
          <w:rFonts w:hint="eastAsia"/>
          <w:color w:val="auto"/>
        </w:rPr>
        <w:t>采购人可以邀请相关监管部门参加</w:t>
      </w:r>
      <w:r>
        <w:rPr>
          <w:rFonts w:hint="eastAsia" w:ascii="宋体"/>
          <w:color w:val="auto"/>
          <w:szCs w:val="21"/>
        </w:rPr>
        <w:t>。</w:t>
      </w:r>
    </w:p>
    <w:p w14:paraId="210B3B45">
      <w:pPr>
        <w:adjustRightInd w:val="0"/>
        <w:snapToGrid w:val="0"/>
        <w:spacing w:line="440" w:lineRule="exact"/>
        <w:ind w:firstLine="420" w:firstLineChars="200"/>
        <w:jc w:val="left"/>
        <w:rPr>
          <w:rFonts w:ascii="宋体"/>
          <w:color w:val="auto"/>
          <w:szCs w:val="21"/>
        </w:rPr>
      </w:pPr>
      <w:r>
        <w:rPr>
          <w:rFonts w:hint="eastAsia" w:ascii="宋体"/>
          <w:color w:val="auto"/>
          <w:szCs w:val="21"/>
        </w:rPr>
        <w:t>26.3开标程序</w:t>
      </w:r>
    </w:p>
    <w:p w14:paraId="540BC0BC">
      <w:pPr>
        <w:spacing w:line="440" w:lineRule="exact"/>
        <w:ind w:firstLine="420" w:firstLineChars="200"/>
        <w:jc w:val="left"/>
        <w:rPr>
          <w:rFonts w:ascii="宋体"/>
          <w:color w:val="auto"/>
          <w:szCs w:val="21"/>
        </w:rPr>
      </w:pPr>
      <w:r>
        <w:rPr>
          <w:rFonts w:hint="eastAsia" w:ascii="宋体"/>
          <w:color w:val="auto"/>
          <w:szCs w:val="21"/>
        </w:rPr>
        <w:t>开标会议由采购代理机构主持。</w:t>
      </w:r>
    </w:p>
    <w:p w14:paraId="520093B5">
      <w:pPr>
        <w:spacing w:line="440" w:lineRule="exact"/>
        <w:ind w:right="-155" w:rightChars="-74" w:firstLine="630" w:firstLineChars="300"/>
        <w:jc w:val="left"/>
        <w:rPr>
          <w:rFonts w:ascii="宋体" w:hAnsi="宋体" w:cs="宋体"/>
          <w:color w:val="auto"/>
          <w:szCs w:val="21"/>
        </w:rPr>
      </w:pPr>
      <w:r>
        <w:rPr>
          <w:rFonts w:hint="eastAsia" w:ascii="宋体" w:hAnsi="宋体" w:cs="宋体"/>
          <w:color w:val="auto"/>
          <w:szCs w:val="21"/>
        </w:rPr>
        <w:t>（1）宣布开标纪律；</w:t>
      </w:r>
    </w:p>
    <w:p w14:paraId="2F12526F">
      <w:pPr>
        <w:spacing w:line="440" w:lineRule="exact"/>
        <w:ind w:right="-155" w:rightChars="-74" w:firstLine="630" w:firstLineChars="300"/>
        <w:jc w:val="left"/>
        <w:rPr>
          <w:rFonts w:ascii="宋体" w:hAnsi="宋体" w:cs="宋体"/>
          <w:color w:val="auto"/>
          <w:szCs w:val="21"/>
        </w:rPr>
      </w:pPr>
      <w:r>
        <w:rPr>
          <w:rFonts w:hint="eastAsia" w:ascii="宋体" w:hAnsi="宋体" w:cs="宋体"/>
          <w:color w:val="auto"/>
          <w:szCs w:val="21"/>
        </w:rPr>
        <w:t>（2）宣布采购人、代理机构主持人、监督人等有关人员姓名；</w:t>
      </w:r>
    </w:p>
    <w:p w14:paraId="5379A0AE">
      <w:pPr>
        <w:spacing w:line="440" w:lineRule="exact"/>
        <w:ind w:right="-155" w:rightChars="-74" w:firstLine="630" w:firstLineChars="300"/>
        <w:jc w:val="left"/>
        <w:rPr>
          <w:rFonts w:ascii="宋体" w:hAnsi="宋体" w:cs="宋体"/>
          <w:color w:val="auto"/>
          <w:szCs w:val="21"/>
        </w:rPr>
      </w:pPr>
      <w:r>
        <w:rPr>
          <w:rFonts w:hint="eastAsia" w:ascii="宋体" w:hAnsi="宋体" w:cs="宋体"/>
          <w:color w:val="auto"/>
          <w:szCs w:val="21"/>
        </w:rPr>
        <w:t xml:space="preserve">（3）公布投标截止时间前，递交投标文件的投标人名称等情况； </w:t>
      </w:r>
    </w:p>
    <w:p w14:paraId="2F376F61">
      <w:pPr>
        <w:spacing w:line="440" w:lineRule="exact"/>
        <w:ind w:right="-155" w:rightChars="-74" w:firstLine="630" w:firstLineChars="300"/>
        <w:jc w:val="left"/>
        <w:rPr>
          <w:rFonts w:ascii="宋体" w:hAnsi="宋体" w:cs="宋体"/>
          <w:color w:val="auto"/>
          <w:szCs w:val="21"/>
        </w:rPr>
      </w:pPr>
      <w:r>
        <w:rPr>
          <w:rFonts w:hint="eastAsia" w:ascii="宋体" w:hAnsi="宋体" w:cs="宋体"/>
          <w:color w:val="auto"/>
          <w:szCs w:val="21"/>
        </w:rPr>
        <w:t>（4）投标人在投标截止时间后，规定时间内完成投标文件收集工作；</w:t>
      </w:r>
    </w:p>
    <w:p w14:paraId="7F717452">
      <w:pPr>
        <w:spacing w:line="440" w:lineRule="exact"/>
        <w:ind w:right="-155" w:rightChars="-74" w:firstLine="630" w:firstLineChars="300"/>
        <w:jc w:val="left"/>
        <w:rPr>
          <w:rFonts w:ascii="宋体" w:hAnsi="宋体" w:cs="宋体"/>
          <w:color w:val="auto"/>
          <w:szCs w:val="21"/>
        </w:rPr>
      </w:pPr>
      <w:r>
        <w:rPr>
          <w:rFonts w:hint="eastAsia" w:ascii="宋体" w:hAnsi="宋体" w:cs="宋体"/>
          <w:color w:val="auto"/>
          <w:szCs w:val="21"/>
        </w:rPr>
        <w:t>（5）公布投标人投标报价、质量目标、供货期及其他内容，并记录在案；</w:t>
      </w:r>
    </w:p>
    <w:p w14:paraId="49F08CB0">
      <w:pPr>
        <w:spacing w:line="440" w:lineRule="exact"/>
        <w:ind w:right="-155" w:rightChars="-74" w:firstLine="630" w:firstLineChars="300"/>
        <w:jc w:val="left"/>
        <w:rPr>
          <w:rFonts w:ascii="宋体" w:hAnsi="宋体" w:cs="宋体"/>
          <w:color w:val="auto"/>
          <w:szCs w:val="21"/>
        </w:rPr>
      </w:pPr>
      <w:r>
        <w:rPr>
          <w:rFonts w:hint="eastAsia" w:ascii="宋体" w:hAnsi="宋体" w:cs="宋体"/>
          <w:color w:val="auto"/>
          <w:szCs w:val="21"/>
        </w:rPr>
        <w:t>（6）开标结束。</w:t>
      </w:r>
    </w:p>
    <w:p w14:paraId="7952C55A">
      <w:pPr>
        <w:spacing w:line="440" w:lineRule="exact"/>
        <w:ind w:firstLine="420" w:firstLineChars="200"/>
        <w:jc w:val="left"/>
        <w:rPr>
          <w:rFonts w:ascii="宋体"/>
          <w:color w:val="auto"/>
          <w:szCs w:val="21"/>
        </w:rPr>
      </w:pPr>
      <w:r>
        <w:rPr>
          <w:rFonts w:hint="eastAsia" w:ascii="宋体"/>
          <w:color w:val="auto"/>
          <w:szCs w:val="21"/>
        </w:rPr>
        <w:t>多标包项目按照标包顺序按以上程序依次开标。</w:t>
      </w:r>
    </w:p>
    <w:p w14:paraId="625CFC74">
      <w:pPr>
        <w:spacing w:line="440" w:lineRule="exact"/>
        <w:ind w:firstLine="420" w:firstLineChars="200"/>
        <w:jc w:val="left"/>
        <w:rPr>
          <w:rFonts w:ascii="宋体"/>
          <w:color w:val="auto"/>
          <w:szCs w:val="21"/>
        </w:rPr>
      </w:pPr>
      <w:r>
        <w:rPr>
          <w:rFonts w:hint="eastAsia" w:ascii="宋体"/>
          <w:color w:val="auto"/>
          <w:szCs w:val="21"/>
        </w:rPr>
        <w:t xml:space="preserve"> 26.4开标疑义</w:t>
      </w:r>
    </w:p>
    <w:p w14:paraId="40374BC4">
      <w:pPr>
        <w:spacing w:line="440" w:lineRule="exact"/>
        <w:ind w:firstLine="420" w:firstLineChars="200"/>
        <w:jc w:val="left"/>
        <w:rPr>
          <w:rFonts w:ascii="宋体"/>
          <w:color w:val="auto"/>
          <w:szCs w:val="21"/>
        </w:rPr>
      </w:pPr>
      <w:r>
        <w:rPr>
          <w:rFonts w:hint="eastAsia" w:ascii="宋体"/>
          <w:color w:val="auto"/>
          <w:szCs w:val="21"/>
        </w:rPr>
        <w:t>投标人代表对开标过程和开标记录有疑义，以及认为采购人、采购代理机构相关工作人员有需要回避的情形的，应当场提出询问或者回避申请。</w:t>
      </w:r>
    </w:p>
    <w:p w14:paraId="01E52093">
      <w:pPr>
        <w:spacing w:line="440" w:lineRule="exact"/>
        <w:ind w:firstLine="422" w:firstLineChars="200"/>
        <w:jc w:val="left"/>
        <w:rPr>
          <w:rFonts w:ascii="宋体"/>
          <w:b/>
          <w:color w:val="auto"/>
          <w:szCs w:val="21"/>
        </w:rPr>
      </w:pPr>
      <w:r>
        <w:rPr>
          <w:rFonts w:hint="eastAsia" w:ascii="宋体"/>
          <w:b/>
          <w:color w:val="auto"/>
          <w:szCs w:val="21"/>
        </w:rPr>
        <w:t>27.评标委员会</w:t>
      </w:r>
    </w:p>
    <w:p w14:paraId="6D81F0B0">
      <w:pPr>
        <w:spacing w:line="440" w:lineRule="exact"/>
        <w:ind w:firstLine="420" w:firstLineChars="200"/>
        <w:jc w:val="left"/>
        <w:rPr>
          <w:rFonts w:ascii="宋体"/>
          <w:color w:val="auto"/>
          <w:szCs w:val="21"/>
        </w:rPr>
      </w:pPr>
      <w:r>
        <w:rPr>
          <w:rFonts w:hint="eastAsia" w:ascii="宋体"/>
          <w:color w:val="auto"/>
          <w:szCs w:val="21"/>
        </w:rPr>
        <w:t>27.1  评标委员会的组成</w:t>
      </w:r>
    </w:p>
    <w:p w14:paraId="0A3C35D2">
      <w:pPr>
        <w:spacing w:line="440" w:lineRule="exact"/>
        <w:ind w:firstLine="420" w:firstLineChars="200"/>
        <w:jc w:val="left"/>
        <w:rPr>
          <w:rFonts w:ascii="宋体"/>
          <w:color w:val="auto"/>
          <w:szCs w:val="21"/>
        </w:rPr>
      </w:pPr>
      <w:r>
        <w:rPr>
          <w:rFonts w:hint="eastAsia" w:ascii="宋体"/>
          <w:color w:val="auto"/>
          <w:szCs w:val="21"/>
        </w:rPr>
        <w:t>27.1.1评标由采购人依法组建的评标委员会负责。</w:t>
      </w:r>
    </w:p>
    <w:p w14:paraId="41368345">
      <w:pPr>
        <w:spacing w:line="440" w:lineRule="exact"/>
        <w:ind w:firstLine="420" w:firstLineChars="200"/>
        <w:jc w:val="left"/>
        <w:rPr>
          <w:rFonts w:ascii="宋体"/>
          <w:color w:val="auto"/>
          <w:szCs w:val="21"/>
        </w:rPr>
      </w:pPr>
      <w:r>
        <w:rPr>
          <w:rFonts w:hint="eastAsia" w:ascii="宋体"/>
          <w:color w:val="auto"/>
          <w:szCs w:val="21"/>
        </w:rPr>
        <w:t>27.1.2评标委员会负责人依法推荐或确定。</w:t>
      </w:r>
    </w:p>
    <w:p w14:paraId="0C7C030B">
      <w:pPr>
        <w:spacing w:line="440" w:lineRule="exact"/>
        <w:ind w:firstLine="420" w:firstLineChars="200"/>
        <w:jc w:val="left"/>
        <w:rPr>
          <w:rFonts w:ascii="宋体"/>
          <w:color w:val="auto"/>
          <w:szCs w:val="21"/>
        </w:rPr>
      </w:pPr>
      <w:r>
        <w:rPr>
          <w:rFonts w:hint="eastAsia" w:ascii="宋体"/>
          <w:color w:val="auto"/>
          <w:szCs w:val="21"/>
        </w:rPr>
        <w:t>27.2  评标委员会成员名单在中标结果确定前应当保密。</w:t>
      </w:r>
    </w:p>
    <w:p w14:paraId="6AFBA0EE">
      <w:pPr>
        <w:spacing w:line="440" w:lineRule="exact"/>
        <w:ind w:firstLine="420" w:firstLineChars="200"/>
        <w:jc w:val="left"/>
        <w:rPr>
          <w:rFonts w:ascii="宋体"/>
          <w:color w:val="auto"/>
          <w:szCs w:val="21"/>
        </w:rPr>
      </w:pPr>
      <w:r>
        <w:rPr>
          <w:rFonts w:hint="eastAsia" w:ascii="宋体"/>
          <w:color w:val="auto"/>
          <w:szCs w:val="21"/>
        </w:rPr>
        <w:t>27.3  评标委员会成员有下述情形的，应当主动提出回避：</w:t>
      </w:r>
    </w:p>
    <w:p w14:paraId="0A39719A">
      <w:pPr>
        <w:spacing w:line="440" w:lineRule="exact"/>
        <w:ind w:firstLine="420" w:firstLineChars="200"/>
        <w:jc w:val="left"/>
        <w:rPr>
          <w:rFonts w:ascii="宋体"/>
          <w:color w:val="auto"/>
          <w:szCs w:val="21"/>
        </w:rPr>
      </w:pPr>
      <w:r>
        <w:rPr>
          <w:rFonts w:hint="eastAsia" w:ascii="宋体"/>
          <w:color w:val="auto"/>
          <w:szCs w:val="21"/>
        </w:rPr>
        <w:t>　　(一)参加采购活动前三年内,与投标人存在劳动关系,或者担任过投标人的董事、监事,或者是投标人的控股股东或实际控制人;</w:t>
      </w:r>
    </w:p>
    <w:p w14:paraId="0DBBD5F6">
      <w:pPr>
        <w:spacing w:line="440" w:lineRule="exact"/>
        <w:ind w:firstLine="420" w:firstLineChars="200"/>
        <w:jc w:val="left"/>
        <w:rPr>
          <w:rFonts w:ascii="宋体"/>
          <w:color w:val="auto"/>
          <w:szCs w:val="21"/>
        </w:rPr>
      </w:pPr>
      <w:r>
        <w:rPr>
          <w:rFonts w:hint="eastAsia" w:ascii="宋体"/>
          <w:color w:val="auto"/>
          <w:szCs w:val="21"/>
        </w:rPr>
        <w:t>　　(二)与投标人的法定代表人或者负责人有夫妻、直系血亲、三代以内旁系血亲或者近姻亲关系；</w:t>
      </w:r>
    </w:p>
    <w:p w14:paraId="1FE7468C">
      <w:pPr>
        <w:spacing w:line="440" w:lineRule="exact"/>
        <w:ind w:firstLine="420" w:firstLineChars="200"/>
        <w:jc w:val="left"/>
        <w:rPr>
          <w:rFonts w:ascii="宋体"/>
          <w:color w:val="auto"/>
          <w:szCs w:val="21"/>
        </w:rPr>
      </w:pPr>
      <w:r>
        <w:rPr>
          <w:rFonts w:hint="eastAsia" w:ascii="宋体"/>
          <w:color w:val="auto"/>
          <w:szCs w:val="21"/>
        </w:rPr>
        <w:t>　　(三)与投标人有其他可能影响政府采购活动公平、公正进行的关系。</w:t>
      </w:r>
    </w:p>
    <w:p w14:paraId="532E9967">
      <w:pPr>
        <w:spacing w:line="440" w:lineRule="exact"/>
        <w:ind w:firstLine="420" w:firstLineChars="200"/>
        <w:jc w:val="left"/>
        <w:rPr>
          <w:rFonts w:ascii="宋体"/>
          <w:color w:val="auto"/>
          <w:szCs w:val="21"/>
        </w:rPr>
      </w:pPr>
      <w:r>
        <w:rPr>
          <w:rFonts w:hint="eastAsia" w:ascii="宋体"/>
          <w:color w:val="auto"/>
          <w:szCs w:val="21"/>
        </w:rPr>
        <w:t>评审专家发现本人与参加采购活动的投标人有利害关系的,应当主动提出回避。采购人或者采购代理机构发现评审专家与参加采购活动的投标人有利害关系的,应当要求其回避。</w:t>
      </w:r>
    </w:p>
    <w:p w14:paraId="1C593853">
      <w:pPr>
        <w:spacing w:line="440" w:lineRule="exact"/>
        <w:ind w:firstLine="420" w:firstLineChars="200"/>
        <w:jc w:val="left"/>
        <w:rPr>
          <w:rFonts w:ascii="宋体"/>
          <w:color w:val="auto"/>
          <w:szCs w:val="21"/>
        </w:rPr>
      </w:pPr>
      <w:r>
        <w:rPr>
          <w:rFonts w:hint="eastAsia" w:ascii="宋体"/>
          <w:color w:val="auto"/>
          <w:szCs w:val="21"/>
        </w:rPr>
        <w:t>除《政府采购评审专家管理办法》第十三条规定的情形外,评审专家对本单位的政府采购项目只能作为采购人代表参与评审活动。各级财政部门政府采购监督管理工作人员,不得作为评审专家参与政府采购项目的评审活动。</w:t>
      </w:r>
    </w:p>
    <w:p w14:paraId="66B3B0EA">
      <w:pPr>
        <w:spacing w:line="440" w:lineRule="exact"/>
        <w:ind w:firstLine="420" w:firstLineChars="200"/>
        <w:jc w:val="left"/>
        <w:rPr>
          <w:rFonts w:ascii="宋体"/>
          <w:color w:val="auto"/>
          <w:szCs w:val="21"/>
        </w:rPr>
      </w:pPr>
      <w:r>
        <w:rPr>
          <w:rFonts w:hint="eastAsia" w:ascii="宋体"/>
          <w:color w:val="auto"/>
          <w:szCs w:val="21"/>
        </w:rPr>
        <w:t>27.4  评标委员会应当向采购人提出书面评标报告，并抄送有关行政监督部门。评标报告应当如实记载以下内容：</w:t>
      </w:r>
    </w:p>
    <w:p w14:paraId="413736B6">
      <w:pPr>
        <w:spacing w:line="440" w:lineRule="exact"/>
        <w:ind w:firstLine="420" w:firstLineChars="200"/>
        <w:jc w:val="left"/>
        <w:rPr>
          <w:rFonts w:ascii="宋体"/>
          <w:color w:val="auto"/>
          <w:szCs w:val="21"/>
        </w:rPr>
      </w:pPr>
      <w:r>
        <w:rPr>
          <w:rFonts w:hint="eastAsia" w:ascii="宋体"/>
          <w:color w:val="auto"/>
          <w:szCs w:val="21"/>
        </w:rPr>
        <w:t>（1）基本情况和数据表；</w:t>
      </w:r>
    </w:p>
    <w:p w14:paraId="4780B99A">
      <w:pPr>
        <w:spacing w:line="440" w:lineRule="exact"/>
        <w:ind w:firstLine="420" w:firstLineChars="200"/>
        <w:jc w:val="left"/>
        <w:rPr>
          <w:rFonts w:ascii="宋体"/>
          <w:color w:val="auto"/>
          <w:szCs w:val="21"/>
        </w:rPr>
      </w:pPr>
      <w:r>
        <w:rPr>
          <w:rFonts w:hint="eastAsia" w:ascii="宋体"/>
          <w:color w:val="auto"/>
          <w:szCs w:val="21"/>
        </w:rPr>
        <w:t>（2）评标委员会成员名单；</w:t>
      </w:r>
    </w:p>
    <w:p w14:paraId="6B35BE3A">
      <w:pPr>
        <w:spacing w:line="440" w:lineRule="exact"/>
        <w:ind w:firstLine="420" w:firstLineChars="200"/>
        <w:jc w:val="left"/>
        <w:rPr>
          <w:rFonts w:ascii="宋体"/>
          <w:color w:val="auto"/>
          <w:szCs w:val="21"/>
        </w:rPr>
      </w:pPr>
      <w:r>
        <w:rPr>
          <w:rFonts w:hint="eastAsia" w:ascii="宋体"/>
          <w:color w:val="auto"/>
          <w:szCs w:val="21"/>
        </w:rPr>
        <w:t>（3）开标记录；</w:t>
      </w:r>
    </w:p>
    <w:p w14:paraId="679121C8">
      <w:pPr>
        <w:spacing w:line="440" w:lineRule="exact"/>
        <w:ind w:firstLine="420" w:firstLineChars="200"/>
        <w:jc w:val="left"/>
        <w:rPr>
          <w:rFonts w:ascii="宋体"/>
          <w:color w:val="auto"/>
          <w:szCs w:val="21"/>
        </w:rPr>
      </w:pPr>
      <w:r>
        <w:rPr>
          <w:rFonts w:hint="eastAsia" w:ascii="宋体"/>
          <w:color w:val="auto"/>
          <w:szCs w:val="21"/>
        </w:rPr>
        <w:t>（4）符合要求的投标人一览表；</w:t>
      </w:r>
    </w:p>
    <w:p w14:paraId="724583BF">
      <w:pPr>
        <w:spacing w:line="440" w:lineRule="exact"/>
        <w:ind w:firstLine="420" w:firstLineChars="200"/>
        <w:jc w:val="left"/>
        <w:rPr>
          <w:rFonts w:ascii="宋体"/>
          <w:color w:val="auto"/>
          <w:szCs w:val="21"/>
        </w:rPr>
      </w:pPr>
      <w:r>
        <w:rPr>
          <w:rFonts w:hint="eastAsia" w:ascii="宋体"/>
          <w:color w:val="auto"/>
          <w:szCs w:val="21"/>
        </w:rPr>
        <w:t>（5）无效情况说明；</w:t>
      </w:r>
    </w:p>
    <w:p w14:paraId="0E7F0A26">
      <w:pPr>
        <w:spacing w:line="440" w:lineRule="exact"/>
        <w:ind w:firstLine="420" w:firstLineChars="200"/>
        <w:jc w:val="left"/>
        <w:rPr>
          <w:rFonts w:ascii="宋体"/>
          <w:color w:val="auto"/>
          <w:szCs w:val="21"/>
        </w:rPr>
      </w:pPr>
      <w:r>
        <w:rPr>
          <w:rFonts w:hint="eastAsia" w:ascii="宋体"/>
          <w:color w:val="auto"/>
          <w:szCs w:val="21"/>
        </w:rPr>
        <w:t>（6）评标标准、评标方法或者评标因素一览表；</w:t>
      </w:r>
    </w:p>
    <w:p w14:paraId="4D073A4D">
      <w:pPr>
        <w:spacing w:line="440" w:lineRule="exact"/>
        <w:ind w:firstLine="420" w:firstLineChars="200"/>
        <w:jc w:val="left"/>
        <w:rPr>
          <w:rFonts w:ascii="宋体"/>
          <w:color w:val="auto"/>
          <w:szCs w:val="21"/>
        </w:rPr>
      </w:pPr>
      <w:r>
        <w:rPr>
          <w:rFonts w:hint="eastAsia" w:ascii="宋体"/>
          <w:color w:val="auto"/>
          <w:szCs w:val="21"/>
        </w:rPr>
        <w:t>（7）经评审的价格或者评分比较一览表；</w:t>
      </w:r>
    </w:p>
    <w:p w14:paraId="7DBCF426">
      <w:pPr>
        <w:spacing w:line="440" w:lineRule="exact"/>
        <w:ind w:firstLine="420" w:firstLineChars="200"/>
        <w:jc w:val="left"/>
        <w:rPr>
          <w:rFonts w:ascii="宋体"/>
          <w:color w:val="auto"/>
          <w:szCs w:val="21"/>
        </w:rPr>
      </w:pPr>
      <w:r>
        <w:rPr>
          <w:rFonts w:hint="eastAsia" w:ascii="宋体"/>
          <w:color w:val="auto"/>
          <w:szCs w:val="21"/>
        </w:rPr>
        <w:t>（8）投标人串标、围标等违规行为的确认报告；</w:t>
      </w:r>
    </w:p>
    <w:p w14:paraId="13412D90">
      <w:pPr>
        <w:spacing w:line="440" w:lineRule="exact"/>
        <w:ind w:firstLine="420" w:firstLineChars="200"/>
        <w:jc w:val="left"/>
        <w:rPr>
          <w:rFonts w:ascii="宋体"/>
          <w:color w:val="auto"/>
          <w:szCs w:val="21"/>
        </w:rPr>
      </w:pPr>
      <w:r>
        <w:rPr>
          <w:rFonts w:hint="eastAsia" w:ascii="宋体"/>
          <w:color w:val="auto"/>
          <w:szCs w:val="21"/>
        </w:rPr>
        <w:t>（9）经评审的投标人排序；</w:t>
      </w:r>
    </w:p>
    <w:p w14:paraId="2FB4222B">
      <w:pPr>
        <w:spacing w:line="440" w:lineRule="exact"/>
        <w:ind w:firstLine="420" w:firstLineChars="200"/>
        <w:jc w:val="left"/>
        <w:rPr>
          <w:rFonts w:ascii="宋体"/>
          <w:color w:val="auto"/>
          <w:szCs w:val="21"/>
        </w:rPr>
      </w:pPr>
      <w:r>
        <w:rPr>
          <w:rFonts w:hint="eastAsia" w:ascii="宋体"/>
          <w:color w:val="auto"/>
          <w:szCs w:val="21"/>
        </w:rPr>
        <w:t>（10）推荐的中标候选人名单；</w:t>
      </w:r>
    </w:p>
    <w:p w14:paraId="1633A0E6">
      <w:pPr>
        <w:spacing w:line="440" w:lineRule="exact"/>
        <w:ind w:firstLine="420" w:firstLineChars="200"/>
        <w:jc w:val="left"/>
        <w:rPr>
          <w:rFonts w:ascii="宋体"/>
          <w:color w:val="auto"/>
          <w:szCs w:val="21"/>
        </w:rPr>
      </w:pPr>
      <w:r>
        <w:rPr>
          <w:rFonts w:hint="eastAsia" w:ascii="宋体"/>
          <w:color w:val="auto"/>
          <w:szCs w:val="21"/>
        </w:rPr>
        <w:t>（11）澄清、说明、补正事项纪要。</w:t>
      </w:r>
    </w:p>
    <w:p w14:paraId="52FED51C">
      <w:pPr>
        <w:tabs>
          <w:tab w:val="left" w:pos="720"/>
        </w:tabs>
        <w:spacing w:line="440" w:lineRule="exact"/>
        <w:ind w:firstLine="422" w:firstLineChars="200"/>
        <w:jc w:val="left"/>
        <w:rPr>
          <w:rFonts w:ascii="宋体"/>
          <w:b/>
          <w:bCs/>
          <w:color w:val="auto"/>
          <w:szCs w:val="21"/>
        </w:rPr>
      </w:pPr>
      <w:r>
        <w:rPr>
          <w:rFonts w:hint="eastAsia" w:ascii="宋体"/>
          <w:b/>
          <w:bCs/>
          <w:color w:val="auto"/>
          <w:szCs w:val="21"/>
        </w:rPr>
        <w:t>27.5 采购人授权评标委员会对投标人资格进行审查。</w:t>
      </w:r>
    </w:p>
    <w:p w14:paraId="5AD80398">
      <w:pPr>
        <w:tabs>
          <w:tab w:val="left" w:pos="720"/>
        </w:tabs>
        <w:spacing w:line="440" w:lineRule="exact"/>
        <w:ind w:firstLine="420" w:firstLineChars="200"/>
        <w:jc w:val="left"/>
        <w:rPr>
          <w:rFonts w:ascii="宋体"/>
          <w:color w:val="auto"/>
          <w:szCs w:val="21"/>
        </w:rPr>
      </w:pPr>
      <w:r>
        <w:rPr>
          <w:rFonts w:hint="eastAsia" w:ascii="宋体"/>
          <w:color w:val="auto"/>
          <w:szCs w:val="21"/>
        </w:rPr>
        <w:t>27.6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p>
    <w:p w14:paraId="6F8C0384">
      <w:pPr>
        <w:spacing w:line="440" w:lineRule="exact"/>
        <w:ind w:firstLine="422" w:firstLineChars="200"/>
        <w:jc w:val="left"/>
        <w:rPr>
          <w:rFonts w:ascii="宋体"/>
          <w:b/>
          <w:color w:val="auto"/>
          <w:szCs w:val="21"/>
        </w:rPr>
      </w:pPr>
      <w:r>
        <w:rPr>
          <w:rFonts w:hint="eastAsia" w:ascii="宋体"/>
          <w:b/>
          <w:color w:val="auto"/>
          <w:szCs w:val="21"/>
        </w:rPr>
        <w:t>28. 评标</w:t>
      </w:r>
    </w:p>
    <w:p w14:paraId="2C5E6EBA">
      <w:pPr>
        <w:spacing w:line="440" w:lineRule="exact"/>
        <w:ind w:firstLine="420" w:firstLineChars="200"/>
        <w:jc w:val="left"/>
        <w:rPr>
          <w:rFonts w:ascii="宋体"/>
          <w:color w:val="auto"/>
          <w:szCs w:val="21"/>
        </w:rPr>
      </w:pPr>
      <w:r>
        <w:rPr>
          <w:rFonts w:hint="eastAsia" w:ascii="宋体"/>
          <w:color w:val="auto"/>
          <w:szCs w:val="21"/>
        </w:rPr>
        <w:t>28.1  评标准备工作</w:t>
      </w:r>
    </w:p>
    <w:p w14:paraId="57659F08">
      <w:pPr>
        <w:spacing w:line="440" w:lineRule="exact"/>
        <w:ind w:firstLine="420" w:firstLineChars="200"/>
        <w:jc w:val="left"/>
        <w:rPr>
          <w:rFonts w:ascii="宋体"/>
          <w:color w:val="auto"/>
          <w:szCs w:val="21"/>
        </w:rPr>
      </w:pPr>
      <w:r>
        <w:rPr>
          <w:rFonts w:hint="eastAsia" w:ascii="宋体"/>
          <w:color w:val="auto"/>
          <w:szCs w:val="21"/>
        </w:rPr>
        <w:t>28.1.1阅读由采购人或招标代理单位编写的招标项目情况的说明材料；</w:t>
      </w:r>
    </w:p>
    <w:p w14:paraId="6DA22DB7">
      <w:pPr>
        <w:spacing w:line="440" w:lineRule="exact"/>
        <w:ind w:firstLine="420" w:firstLineChars="200"/>
        <w:jc w:val="left"/>
        <w:rPr>
          <w:rFonts w:ascii="宋体"/>
          <w:color w:val="auto"/>
          <w:szCs w:val="21"/>
        </w:rPr>
      </w:pPr>
      <w:r>
        <w:rPr>
          <w:rFonts w:hint="eastAsia" w:ascii="宋体"/>
          <w:color w:val="auto"/>
          <w:szCs w:val="21"/>
        </w:rPr>
        <w:t>28.1.2阅读、研究招标文件和相关评标资料，获取评标所需要的重要信息和数据；</w:t>
      </w:r>
    </w:p>
    <w:p w14:paraId="1D4D7707">
      <w:pPr>
        <w:spacing w:line="440" w:lineRule="exact"/>
        <w:ind w:firstLine="420" w:firstLineChars="200"/>
        <w:jc w:val="left"/>
        <w:rPr>
          <w:rFonts w:ascii="宋体"/>
          <w:color w:val="auto"/>
          <w:szCs w:val="21"/>
        </w:rPr>
      </w:pPr>
      <w:r>
        <w:rPr>
          <w:rFonts w:hint="eastAsia" w:ascii="宋体"/>
          <w:color w:val="auto"/>
          <w:szCs w:val="21"/>
        </w:rPr>
        <w:t>28.1.3熟悉招标文件规定的评标方法及在评标过程中需要考虑的相关因素；</w:t>
      </w:r>
    </w:p>
    <w:p w14:paraId="408BBF52">
      <w:pPr>
        <w:spacing w:line="440" w:lineRule="exact"/>
        <w:ind w:firstLine="420" w:firstLineChars="200"/>
        <w:jc w:val="left"/>
        <w:rPr>
          <w:rFonts w:ascii="宋体"/>
          <w:color w:val="auto"/>
          <w:szCs w:val="21"/>
        </w:rPr>
      </w:pPr>
      <w:r>
        <w:rPr>
          <w:rFonts w:hint="eastAsia" w:ascii="宋体"/>
          <w:color w:val="auto"/>
          <w:szCs w:val="21"/>
        </w:rPr>
        <w:t>28.1.4核对评标工作用表。</w:t>
      </w:r>
    </w:p>
    <w:p w14:paraId="7125C904">
      <w:pPr>
        <w:spacing w:line="440" w:lineRule="exact"/>
        <w:ind w:firstLine="420" w:firstLineChars="200"/>
        <w:jc w:val="left"/>
        <w:rPr>
          <w:rFonts w:ascii="宋体"/>
          <w:color w:val="auto"/>
          <w:szCs w:val="21"/>
        </w:rPr>
      </w:pPr>
      <w:r>
        <w:rPr>
          <w:rFonts w:hint="eastAsia" w:ascii="宋体"/>
          <w:color w:val="auto"/>
          <w:szCs w:val="21"/>
        </w:rPr>
        <w:t>28.2  评标办法</w:t>
      </w:r>
    </w:p>
    <w:p w14:paraId="5A0E18A4">
      <w:pPr>
        <w:spacing w:line="440" w:lineRule="exact"/>
        <w:ind w:firstLine="420" w:firstLineChars="200"/>
        <w:jc w:val="left"/>
        <w:rPr>
          <w:rFonts w:ascii="宋体"/>
          <w:color w:val="auto"/>
          <w:szCs w:val="21"/>
        </w:rPr>
      </w:pPr>
      <w:r>
        <w:rPr>
          <w:rFonts w:hint="eastAsia" w:ascii="宋体"/>
          <w:color w:val="auto"/>
          <w:szCs w:val="21"/>
        </w:rPr>
        <w:t>28.2.1评标委员会按照第三章“评标办法”规定的方法、评审因素、标准和程序对投标文件进行评审。第三章“评标办法”没有规定的方法、评审因素和标准，不作为评标依据。</w:t>
      </w:r>
    </w:p>
    <w:p w14:paraId="0AC3121B">
      <w:pPr>
        <w:spacing w:line="440" w:lineRule="exact"/>
        <w:ind w:firstLine="420" w:firstLineChars="200"/>
        <w:jc w:val="left"/>
        <w:rPr>
          <w:rFonts w:ascii="宋体"/>
          <w:color w:val="auto"/>
          <w:szCs w:val="21"/>
        </w:rPr>
      </w:pPr>
      <w:r>
        <w:rPr>
          <w:rFonts w:hint="eastAsia" w:ascii="宋体"/>
          <w:color w:val="auto"/>
          <w:szCs w:val="21"/>
        </w:rPr>
        <w:t>28.3评标原则：</w:t>
      </w:r>
    </w:p>
    <w:p w14:paraId="765595CA">
      <w:pPr>
        <w:spacing w:line="440" w:lineRule="exact"/>
        <w:ind w:firstLine="420" w:firstLineChars="200"/>
        <w:jc w:val="left"/>
        <w:rPr>
          <w:rFonts w:ascii="宋体"/>
          <w:color w:val="auto"/>
          <w:szCs w:val="21"/>
        </w:rPr>
      </w:pPr>
      <w:r>
        <w:rPr>
          <w:rFonts w:hint="eastAsia" w:ascii="宋体"/>
          <w:color w:val="auto"/>
          <w:szCs w:val="21"/>
        </w:rPr>
        <w:t>遵循公平、公正、科学和择优的原则。</w:t>
      </w:r>
    </w:p>
    <w:p w14:paraId="07C0AD89">
      <w:pPr>
        <w:spacing w:line="440" w:lineRule="exact"/>
        <w:ind w:firstLine="420" w:firstLineChars="200"/>
        <w:jc w:val="left"/>
        <w:rPr>
          <w:rFonts w:ascii="宋体"/>
          <w:color w:val="auto"/>
          <w:szCs w:val="21"/>
        </w:rPr>
      </w:pPr>
      <w:r>
        <w:rPr>
          <w:rFonts w:hint="eastAsia" w:ascii="宋体"/>
          <w:color w:val="auto"/>
          <w:szCs w:val="21"/>
        </w:rPr>
        <w:t>28.4 关于提供相同品牌的处理</w:t>
      </w:r>
    </w:p>
    <w:p w14:paraId="5AD755D7">
      <w:pPr>
        <w:pStyle w:val="34"/>
        <w:shd w:val="clear" w:color="auto" w:fill="FFFFFF"/>
        <w:spacing w:before="0" w:beforeAutospacing="0" w:after="0" w:afterAutospacing="0" w:line="440" w:lineRule="exact"/>
        <w:ind w:firstLine="420" w:firstLineChars="200"/>
        <w:rPr>
          <w:rFonts w:hAnsi="Times New Roman" w:cs="Times New Roman"/>
          <w:kern w:val="2"/>
          <w:sz w:val="21"/>
          <w:szCs w:val="21"/>
        </w:rPr>
      </w:pPr>
      <w:r>
        <w:rPr>
          <w:rFonts w:hint="eastAsia" w:hAnsi="Times New Roman" w:cs="Times New Roman"/>
          <w:kern w:val="2"/>
          <w:sz w:val="21"/>
          <w:szCs w:val="21"/>
        </w:rPr>
        <w:t>使用综合评分法的采购项目，</w:t>
      </w:r>
      <w:r>
        <w:rPr>
          <w:rFonts w:hAnsi="Times New Roman" w:cs="Times New Roman"/>
          <w:kern w:val="2"/>
          <w:sz w:val="21"/>
          <w:szCs w:val="21"/>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hAnsi="Times New Roman" w:cs="Times New Roman"/>
          <w:kern w:val="2"/>
          <w:sz w:val="21"/>
          <w:szCs w:val="21"/>
        </w:rPr>
        <w:t>或者采购人委托评标委员会按照招标文件规定的方式确定一个投标人获得中标人推荐资格，招标文件未规定的，</w:t>
      </w:r>
      <w:r>
        <w:rPr>
          <w:rFonts w:hAnsi="Times New Roman" w:cs="Times New Roman"/>
          <w:kern w:val="2"/>
          <w:sz w:val="21"/>
          <w:szCs w:val="21"/>
        </w:rPr>
        <w:t>采取随机抽取方式确定，其他同品牌投标人不作为中标候选人。</w:t>
      </w:r>
    </w:p>
    <w:p w14:paraId="354D6A52">
      <w:pPr>
        <w:ind w:firstLine="420" w:firstLineChars="200"/>
        <w:jc w:val="left"/>
        <w:rPr>
          <w:color w:val="auto"/>
          <w:kern w:val="2"/>
          <w:szCs w:val="21"/>
        </w:rPr>
      </w:pPr>
      <w:r>
        <w:rPr>
          <w:color w:val="auto"/>
          <w:kern w:val="2"/>
          <w:szCs w:val="21"/>
        </w:rPr>
        <w:t>非单一产品采购项目，采购人应当根据采购项目技术构成、产品价格比重等合理确定核心产品，并在招标文件中载明。多家投标人提供的核心产品品牌相同的，按前款规定处理。</w:t>
      </w:r>
    </w:p>
    <w:p w14:paraId="5F221DD7">
      <w:pPr>
        <w:spacing w:line="440" w:lineRule="exact"/>
        <w:ind w:firstLine="420" w:firstLineChars="200"/>
        <w:rPr>
          <w:rFonts w:ascii="宋体"/>
          <w:color w:val="auto"/>
          <w:szCs w:val="21"/>
        </w:rPr>
      </w:pPr>
      <w:r>
        <w:rPr>
          <w:rFonts w:hint="eastAsia" w:ascii="宋体"/>
          <w:color w:val="auto"/>
          <w:szCs w:val="21"/>
        </w:rPr>
        <w:t>28.5.1 在评标过程中，评标委员会认为需要，在监督管理部门的监督下，可要求投标人对投标文件中的有关问题进行澄清或提供补充说明及有关资料，投标人应做出答复，答复将视为投标文件的组成部分，答复中不得变更价格、服务期、自报质量等实质性内容。</w:t>
      </w:r>
    </w:p>
    <w:p w14:paraId="165F4AAD">
      <w:pPr>
        <w:spacing w:line="440" w:lineRule="exact"/>
        <w:ind w:firstLine="420" w:firstLineChars="200"/>
        <w:rPr>
          <w:rFonts w:ascii="宋体"/>
          <w:color w:val="auto"/>
          <w:szCs w:val="21"/>
        </w:rPr>
      </w:pPr>
      <w:r>
        <w:rPr>
          <w:rFonts w:hint="eastAsia" w:ascii="宋体"/>
          <w:color w:val="auto"/>
          <w:szCs w:val="21"/>
        </w:rPr>
        <w:t>28.5.2投标截止时间后，投标人对投标报价或其它实质性内容修正的函件和增加的任何优惠条件，一律不得作为评标、定标的依据。</w:t>
      </w:r>
    </w:p>
    <w:p w14:paraId="49C5CF44">
      <w:pPr>
        <w:spacing w:line="440" w:lineRule="exact"/>
        <w:ind w:firstLine="420" w:firstLineChars="200"/>
        <w:rPr>
          <w:rFonts w:ascii="宋体"/>
          <w:color w:val="auto"/>
          <w:szCs w:val="21"/>
        </w:rPr>
      </w:pPr>
      <w:r>
        <w:rPr>
          <w:rFonts w:hint="eastAsia" w:ascii="宋体"/>
          <w:color w:val="auto"/>
          <w:szCs w:val="21"/>
        </w:rPr>
        <w:t>28.5.3  采购人不接受投标人主动提出的澄清。</w:t>
      </w:r>
    </w:p>
    <w:p w14:paraId="3CBC6A7E">
      <w:pPr>
        <w:spacing w:line="440" w:lineRule="exact"/>
        <w:ind w:firstLine="420" w:firstLineChars="200"/>
        <w:rPr>
          <w:rFonts w:ascii="宋体"/>
          <w:color w:val="auto"/>
          <w:szCs w:val="21"/>
        </w:rPr>
      </w:pPr>
      <w:r>
        <w:rPr>
          <w:rFonts w:hint="eastAsia" w:ascii="宋体"/>
          <w:color w:val="auto"/>
          <w:szCs w:val="21"/>
        </w:rPr>
        <w:t>28.6报价合理性的判断</w:t>
      </w:r>
    </w:p>
    <w:p w14:paraId="7E0C2B77">
      <w:pPr>
        <w:spacing w:line="440" w:lineRule="exact"/>
        <w:ind w:firstLine="420" w:firstLineChars="200"/>
        <w:rPr>
          <w:rFonts w:ascii="宋体"/>
          <w:color w:val="auto"/>
          <w:szCs w:val="21"/>
        </w:rPr>
      </w:pPr>
      <w:r>
        <w:rPr>
          <w:rFonts w:hint="eastAsia" w:ascii="宋体"/>
          <w:color w:val="auto"/>
          <w:szCs w:val="21"/>
        </w:rPr>
        <w:t>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p>
    <w:p w14:paraId="7CB3B4C5">
      <w:pPr>
        <w:spacing w:line="440" w:lineRule="exact"/>
        <w:ind w:firstLine="420" w:firstLineChars="200"/>
        <w:rPr>
          <w:rFonts w:ascii="宋体"/>
          <w:color w:val="auto"/>
          <w:szCs w:val="21"/>
        </w:rPr>
      </w:pPr>
      <w:r>
        <w:rPr>
          <w:rFonts w:hint="eastAsia" w:ascii="宋体"/>
          <w:color w:val="auto"/>
          <w:szCs w:val="21"/>
        </w:rPr>
        <w:t>28.7评审意见分歧的处理办法</w:t>
      </w:r>
    </w:p>
    <w:p w14:paraId="292E83B7">
      <w:pPr>
        <w:spacing w:line="440" w:lineRule="exact"/>
        <w:ind w:firstLine="420" w:firstLineChars="200"/>
        <w:rPr>
          <w:rFonts w:ascii="宋体"/>
          <w:color w:val="auto"/>
          <w:szCs w:val="21"/>
        </w:rPr>
      </w:pPr>
      <w:r>
        <w:rPr>
          <w:rFonts w:hint="eastAsia" w:ascii="宋体"/>
          <w:color w:val="auto"/>
          <w:szCs w:val="21"/>
        </w:rPr>
        <w:t>（1）评标委员会应当对投标人提供的报告、证明材料及详细说明认真研究。对存在意见分歧的，可采用投票方式表决决定（按多数评委意见为准）；</w:t>
      </w:r>
    </w:p>
    <w:p w14:paraId="7A525CFB">
      <w:pPr>
        <w:spacing w:line="440" w:lineRule="exact"/>
        <w:ind w:firstLine="420" w:firstLineChars="200"/>
        <w:rPr>
          <w:rFonts w:ascii="宋体"/>
          <w:color w:val="auto"/>
          <w:szCs w:val="21"/>
        </w:rPr>
      </w:pPr>
      <w:r>
        <w:rPr>
          <w:rFonts w:hint="eastAsia" w:ascii="宋体"/>
          <w:color w:val="auto"/>
          <w:szCs w:val="21"/>
        </w:rPr>
        <w:t>（2）招标投标当事人对评标结果提出质疑或者投诉，监督机构认为需要重新进行评标的，评标委员会成员应当按照监督机构要求重新评标。</w:t>
      </w:r>
    </w:p>
    <w:p w14:paraId="33B1A57A">
      <w:pPr>
        <w:spacing w:line="440" w:lineRule="exact"/>
        <w:ind w:firstLine="420" w:firstLineChars="200"/>
        <w:rPr>
          <w:rFonts w:ascii="宋体"/>
          <w:color w:val="auto"/>
          <w:szCs w:val="21"/>
        </w:rPr>
      </w:pPr>
      <w:r>
        <w:rPr>
          <w:rFonts w:hint="eastAsia" w:ascii="宋体"/>
          <w:color w:val="auto"/>
          <w:szCs w:val="21"/>
        </w:rPr>
        <w:t>28.8评标报告的签署</w:t>
      </w:r>
    </w:p>
    <w:p w14:paraId="48EC5CD3">
      <w:pPr>
        <w:spacing w:line="440" w:lineRule="exact"/>
        <w:ind w:firstLine="420" w:firstLineChars="200"/>
        <w:rPr>
          <w:rFonts w:ascii="宋体"/>
          <w:color w:val="auto"/>
          <w:szCs w:val="21"/>
        </w:rPr>
      </w:pPr>
      <w:r>
        <w:rPr>
          <w:rFonts w:hint="eastAsia" w:ascii="宋体"/>
          <w:color w:val="auto"/>
          <w:szCs w:val="21"/>
        </w:rPr>
        <w:t>28.8.1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A70570D">
      <w:pPr>
        <w:spacing w:line="440" w:lineRule="exact"/>
        <w:ind w:firstLine="420" w:firstLineChars="200"/>
        <w:rPr>
          <w:rFonts w:ascii="宋体"/>
          <w:color w:val="auto"/>
          <w:szCs w:val="21"/>
        </w:rPr>
      </w:pPr>
      <w:r>
        <w:rPr>
          <w:rFonts w:hint="eastAsia" w:ascii="宋体"/>
          <w:color w:val="auto"/>
          <w:szCs w:val="21"/>
        </w:rPr>
        <w:t>28.9评标过程的保密</w:t>
      </w:r>
    </w:p>
    <w:p w14:paraId="0D70999F">
      <w:pPr>
        <w:spacing w:line="440" w:lineRule="exact"/>
        <w:ind w:firstLine="420" w:firstLineChars="200"/>
        <w:rPr>
          <w:rFonts w:ascii="宋体"/>
          <w:color w:val="auto"/>
          <w:szCs w:val="21"/>
        </w:rPr>
      </w:pPr>
      <w:r>
        <w:rPr>
          <w:rFonts w:hint="eastAsia" w:ascii="宋体"/>
          <w:color w:val="auto"/>
          <w:szCs w:val="21"/>
        </w:rPr>
        <w:t> 评标委员会成员和与评标活动有关的工作人员不得透露对投标文件的评审和比较、中标候选人的推荐情况以及与评标有关的其他情况。</w:t>
      </w:r>
    </w:p>
    <w:p w14:paraId="6793C424">
      <w:pPr>
        <w:spacing w:line="440" w:lineRule="exact"/>
        <w:ind w:firstLine="422" w:firstLineChars="200"/>
        <w:jc w:val="left"/>
        <w:rPr>
          <w:rFonts w:ascii="宋体" w:hAnsi="宋体" w:cs="宋体"/>
          <w:b/>
          <w:bCs/>
          <w:color w:val="auto"/>
          <w:szCs w:val="21"/>
        </w:rPr>
      </w:pPr>
      <w:r>
        <w:rPr>
          <w:rFonts w:hint="eastAsia" w:ascii="宋体" w:hAnsi="宋体" w:cs="宋体"/>
          <w:b/>
          <w:bCs/>
          <w:color w:val="auto"/>
          <w:szCs w:val="21"/>
        </w:rPr>
        <w:t>28.10评标结果公告</w:t>
      </w:r>
    </w:p>
    <w:p w14:paraId="07E577AA">
      <w:pPr>
        <w:snapToGrid w:val="0"/>
        <w:spacing w:line="440" w:lineRule="exact"/>
        <w:jc w:val="left"/>
        <w:rPr>
          <w:rFonts w:ascii="宋体" w:hAnsi="宋体" w:cs="宋体"/>
          <w:color w:val="auto"/>
          <w:szCs w:val="21"/>
        </w:rPr>
      </w:pPr>
      <w:r>
        <w:rPr>
          <w:rFonts w:hint="eastAsia" w:ascii="宋体" w:hAnsi="宋体" w:cs="宋体"/>
          <w:b/>
          <w:bCs/>
          <w:color w:val="auto"/>
          <w:szCs w:val="21"/>
        </w:rPr>
        <w:t xml:space="preserve">    采购人应将中标人的情况网站上予以公告，公告期为1个工作日（若有业绩要求，业绩同时公告）。</w:t>
      </w:r>
    </w:p>
    <w:p w14:paraId="7D2489B8">
      <w:pPr>
        <w:spacing w:line="440" w:lineRule="exact"/>
        <w:ind w:firstLine="422" w:firstLineChars="200"/>
        <w:jc w:val="left"/>
        <w:rPr>
          <w:rFonts w:ascii="宋体" w:hAnsi="宋体" w:cs="宋体"/>
          <w:b/>
          <w:bCs/>
          <w:color w:val="auto"/>
          <w:szCs w:val="21"/>
        </w:rPr>
      </w:pPr>
      <w:bookmarkStart w:id="62" w:name="_Toc449028873"/>
      <w:r>
        <w:rPr>
          <w:rFonts w:hint="eastAsia" w:ascii="宋体" w:hAnsi="宋体" w:cs="宋体"/>
          <w:b/>
          <w:bCs/>
          <w:color w:val="auto"/>
          <w:szCs w:val="21"/>
        </w:rPr>
        <w:t>29. 定标</w:t>
      </w:r>
    </w:p>
    <w:p w14:paraId="6E58F325">
      <w:pPr>
        <w:pStyle w:val="17"/>
        <w:spacing w:line="440" w:lineRule="exact"/>
        <w:ind w:firstLine="420" w:firstLineChars="200"/>
        <w:rPr>
          <w:rFonts w:ascii="宋体" w:hAnsi="宋体" w:cs="宋体"/>
          <w:color w:val="auto"/>
          <w:szCs w:val="21"/>
        </w:rPr>
      </w:pPr>
      <w:r>
        <w:rPr>
          <w:rFonts w:hint="eastAsia" w:ascii="宋体" w:hAnsi="宋体" w:cs="宋体"/>
          <w:color w:val="auto"/>
          <w:szCs w:val="21"/>
        </w:rPr>
        <w:t>29.1 中标人的确定</w:t>
      </w:r>
    </w:p>
    <w:p w14:paraId="3D3E0AC8">
      <w:pPr>
        <w:pStyle w:val="17"/>
        <w:spacing w:line="440" w:lineRule="exact"/>
        <w:ind w:firstLine="420" w:firstLineChars="200"/>
        <w:rPr>
          <w:rFonts w:ascii="宋体" w:hAnsi="宋体" w:cs="宋体"/>
          <w:color w:val="auto"/>
          <w:szCs w:val="21"/>
        </w:rPr>
      </w:pPr>
      <w:r>
        <w:rPr>
          <w:rFonts w:hint="eastAsia" w:ascii="宋体" w:hAnsi="宋体" w:cs="宋体"/>
          <w:color w:val="auto"/>
          <w:szCs w:val="21"/>
        </w:rPr>
        <w:t>29.1.1除投标人须知前附表规定评标委员会直接确定中标人外，采购人依据评标委员会推荐的中标候选人确定中标人，评标委员会推荐中标候选人的人数见投标人须知前附表。</w:t>
      </w:r>
    </w:p>
    <w:p w14:paraId="36D08953">
      <w:pPr>
        <w:pStyle w:val="17"/>
        <w:spacing w:line="440" w:lineRule="exact"/>
        <w:ind w:firstLine="420" w:firstLineChars="200"/>
        <w:rPr>
          <w:rFonts w:ascii="宋体" w:hAnsi="宋体" w:cs="宋体"/>
          <w:color w:val="auto"/>
          <w:szCs w:val="21"/>
        </w:rPr>
      </w:pPr>
      <w:r>
        <w:rPr>
          <w:rFonts w:hint="eastAsia" w:ascii="宋体" w:hAnsi="宋体" w:cs="宋体"/>
          <w:color w:val="auto"/>
          <w:szCs w:val="21"/>
        </w:rPr>
        <w:t>29.1.2中标人确定后，采购人应将中标信息在网站上公告。</w:t>
      </w:r>
    </w:p>
    <w:p w14:paraId="462D6C58">
      <w:pPr>
        <w:pStyle w:val="17"/>
        <w:spacing w:line="440" w:lineRule="exact"/>
        <w:ind w:firstLine="420" w:firstLineChars="200"/>
        <w:rPr>
          <w:rFonts w:ascii="宋体" w:hAnsi="宋体" w:cs="宋体"/>
          <w:color w:val="auto"/>
          <w:szCs w:val="21"/>
        </w:rPr>
      </w:pPr>
      <w:r>
        <w:rPr>
          <w:rFonts w:hint="eastAsia" w:ascii="宋体" w:hAnsi="宋体" w:cs="宋体"/>
          <w:color w:val="auto"/>
          <w:szCs w:val="21"/>
        </w:rPr>
        <w:t>29.2 中标通知书</w:t>
      </w:r>
    </w:p>
    <w:p w14:paraId="39B8A5B1">
      <w:pPr>
        <w:pStyle w:val="17"/>
        <w:spacing w:line="440" w:lineRule="exact"/>
        <w:ind w:firstLine="420" w:firstLineChars="200"/>
        <w:rPr>
          <w:rFonts w:ascii="宋体" w:hAnsi="宋体" w:cs="宋体"/>
          <w:color w:val="auto"/>
          <w:szCs w:val="21"/>
        </w:rPr>
      </w:pPr>
      <w:r>
        <w:rPr>
          <w:rFonts w:hint="eastAsia" w:ascii="宋体" w:hAnsi="宋体" w:cs="宋体"/>
          <w:color w:val="auto"/>
          <w:szCs w:val="21"/>
        </w:rPr>
        <w:t>29.2.1采购人或采购代理机构应在中标人确定之日起2个工作日内，在网站公告中标结果并同时向中标人发出中标通知书。</w:t>
      </w:r>
    </w:p>
    <w:p w14:paraId="2C67EA67">
      <w:pPr>
        <w:pStyle w:val="17"/>
        <w:spacing w:line="440" w:lineRule="exact"/>
        <w:ind w:firstLine="420" w:firstLineChars="200"/>
        <w:rPr>
          <w:rFonts w:ascii="宋体" w:hAnsi="宋体" w:cs="宋体"/>
          <w:color w:val="auto"/>
          <w:szCs w:val="21"/>
        </w:rPr>
      </w:pPr>
      <w:r>
        <w:rPr>
          <w:rFonts w:hint="eastAsia" w:ascii="宋体" w:hAnsi="宋体" w:cs="宋体"/>
          <w:color w:val="auto"/>
          <w:szCs w:val="21"/>
        </w:rPr>
        <w:t>29.2.2中标通知书须加盖采购人、采购代理机构公章后，方可发出。</w:t>
      </w:r>
    </w:p>
    <w:p w14:paraId="36849469">
      <w:pPr>
        <w:pStyle w:val="17"/>
        <w:spacing w:line="440" w:lineRule="exact"/>
        <w:ind w:firstLine="420" w:firstLineChars="200"/>
        <w:rPr>
          <w:rFonts w:ascii="宋体" w:hAnsi="宋体" w:cs="宋体"/>
          <w:color w:val="auto"/>
          <w:szCs w:val="21"/>
        </w:rPr>
      </w:pPr>
      <w:r>
        <w:rPr>
          <w:rFonts w:hint="eastAsia" w:ascii="宋体" w:hAnsi="宋体" w:cs="宋体"/>
          <w:color w:val="auto"/>
          <w:szCs w:val="21"/>
        </w:rPr>
        <w:t>29.2.3采购人将在发出中标通知书的同时，向未通过资格审查的投标人告知其未通过的原因；采用综合评分法评审的，还将告知未中标人本人的评审得分与排序。</w:t>
      </w:r>
    </w:p>
    <w:p w14:paraId="1F3993A4">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30. 开评标异常情况处理</w:t>
      </w:r>
    </w:p>
    <w:p w14:paraId="6C42520E">
      <w:pPr>
        <w:spacing w:line="440" w:lineRule="exact"/>
        <w:ind w:firstLine="420" w:firstLineChars="200"/>
        <w:jc w:val="left"/>
        <w:rPr>
          <w:rFonts w:ascii="宋体" w:hAnsi="宋体" w:cs="宋体"/>
          <w:color w:val="auto"/>
          <w:kern w:val="10"/>
          <w:szCs w:val="21"/>
        </w:rPr>
      </w:pPr>
      <w:r>
        <w:rPr>
          <w:rFonts w:hint="eastAsia" w:ascii="宋体" w:hAnsi="宋体" w:cs="宋体"/>
          <w:color w:val="auto"/>
          <w:kern w:val="10"/>
          <w:szCs w:val="21"/>
        </w:rPr>
        <w:t>3</w:t>
      </w:r>
      <w:bookmarkStart w:id="63" w:name="_Toc449028872"/>
      <w:r>
        <w:rPr>
          <w:rFonts w:hint="eastAsia" w:ascii="宋体" w:hAnsi="宋体" w:cs="宋体"/>
          <w:color w:val="auto"/>
          <w:kern w:val="10"/>
          <w:szCs w:val="21"/>
        </w:rPr>
        <w:t xml:space="preserve">0.1废标（重新招标） </w:t>
      </w:r>
    </w:p>
    <w:p w14:paraId="754A0EC3">
      <w:pPr>
        <w:spacing w:line="440" w:lineRule="exact"/>
        <w:ind w:firstLine="420" w:firstLineChars="200"/>
        <w:jc w:val="left"/>
        <w:rPr>
          <w:rFonts w:ascii="宋体" w:hAnsi="宋体" w:cs="宋体"/>
          <w:color w:val="auto"/>
          <w:kern w:val="10"/>
          <w:szCs w:val="21"/>
        </w:rPr>
      </w:pPr>
      <w:r>
        <w:rPr>
          <w:rFonts w:hint="eastAsia" w:ascii="宋体" w:hAnsi="宋体" w:cs="宋体"/>
          <w:color w:val="auto"/>
          <w:kern w:val="10"/>
          <w:szCs w:val="21"/>
        </w:rPr>
        <w:t>有下列情形之一的，采购人将废标（重新招标）：</w:t>
      </w:r>
    </w:p>
    <w:p w14:paraId="05ECF3D6">
      <w:pPr>
        <w:spacing w:line="440" w:lineRule="exact"/>
        <w:ind w:firstLine="420" w:firstLineChars="200"/>
        <w:jc w:val="left"/>
        <w:rPr>
          <w:rFonts w:ascii="宋体" w:hAnsi="宋体" w:cs="宋体"/>
          <w:color w:val="auto"/>
          <w:kern w:val="10"/>
          <w:szCs w:val="21"/>
        </w:rPr>
      </w:pPr>
      <w:r>
        <w:rPr>
          <w:rFonts w:hint="eastAsia" w:ascii="宋体" w:hAnsi="宋体" w:cs="宋体"/>
          <w:color w:val="auto"/>
          <w:kern w:val="10"/>
          <w:szCs w:val="21"/>
        </w:rPr>
        <w:t xml:space="preserve">(1)投标截止时间止，投标人少于三个的； </w:t>
      </w:r>
    </w:p>
    <w:p w14:paraId="4C6BAB37">
      <w:pPr>
        <w:spacing w:line="440" w:lineRule="exact"/>
        <w:ind w:firstLine="420" w:firstLineChars="200"/>
        <w:jc w:val="left"/>
        <w:rPr>
          <w:rFonts w:ascii="宋体" w:hAnsi="宋体" w:cs="宋体"/>
          <w:color w:val="auto"/>
          <w:kern w:val="10"/>
          <w:szCs w:val="21"/>
        </w:rPr>
      </w:pPr>
      <w:r>
        <w:rPr>
          <w:rFonts w:hint="eastAsia" w:ascii="宋体" w:hAnsi="宋体" w:cs="宋体"/>
          <w:color w:val="auto"/>
          <w:kern w:val="10"/>
          <w:szCs w:val="21"/>
        </w:rPr>
        <w:t>(2)符合专业条件的投标人或者对招标文件作实质响应的投标人不足三家的；</w:t>
      </w:r>
    </w:p>
    <w:p w14:paraId="45690616">
      <w:pPr>
        <w:spacing w:line="440" w:lineRule="exact"/>
        <w:ind w:firstLine="420" w:firstLineChars="200"/>
        <w:jc w:val="left"/>
        <w:rPr>
          <w:rFonts w:ascii="宋体" w:hAnsi="宋体" w:cs="宋体"/>
          <w:color w:val="auto"/>
          <w:kern w:val="10"/>
          <w:szCs w:val="21"/>
        </w:rPr>
      </w:pPr>
      <w:r>
        <w:rPr>
          <w:rFonts w:hint="eastAsia" w:ascii="宋体" w:hAnsi="宋体" w:cs="宋体"/>
          <w:color w:val="auto"/>
          <w:kern w:val="10"/>
          <w:szCs w:val="21"/>
        </w:rPr>
        <w:t>(3)出现影响采购公正的违法、违规行为的；</w:t>
      </w:r>
    </w:p>
    <w:p w14:paraId="2C132491">
      <w:pPr>
        <w:spacing w:line="440" w:lineRule="exact"/>
        <w:ind w:firstLine="420" w:firstLineChars="200"/>
        <w:jc w:val="left"/>
        <w:rPr>
          <w:rFonts w:ascii="宋体" w:hAnsi="宋体" w:cs="宋体"/>
          <w:color w:val="auto"/>
          <w:kern w:val="10"/>
          <w:szCs w:val="21"/>
        </w:rPr>
      </w:pPr>
      <w:r>
        <w:rPr>
          <w:rFonts w:hint="eastAsia" w:ascii="宋体" w:hAnsi="宋体" w:cs="宋体"/>
          <w:color w:val="auto"/>
          <w:kern w:val="10"/>
          <w:szCs w:val="21"/>
        </w:rPr>
        <w:t>(4)投标人的报价均脱离实际且无充分证据的；</w:t>
      </w:r>
    </w:p>
    <w:p w14:paraId="79C29CCE">
      <w:pPr>
        <w:spacing w:line="440" w:lineRule="exact"/>
        <w:ind w:firstLine="420" w:firstLineChars="200"/>
        <w:jc w:val="left"/>
        <w:rPr>
          <w:rFonts w:ascii="宋体" w:hAnsi="宋体" w:cs="宋体"/>
          <w:color w:val="auto"/>
          <w:kern w:val="10"/>
          <w:szCs w:val="21"/>
        </w:rPr>
      </w:pPr>
      <w:r>
        <w:rPr>
          <w:rFonts w:hint="eastAsia" w:ascii="宋体" w:hAnsi="宋体" w:cs="宋体"/>
          <w:color w:val="auto"/>
          <w:kern w:val="10"/>
          <w:szCs w:val="21"/>
        </w:rPr>
        <w:t>(5)因重大变故，采购任务取消的。</w:t>
      </w:r>
    </w:p>
    <w:p w14:paraId="0674B601">
      <w:pPr>
        <w:spacing w:line="440" w:lineRule="exact"/>
        <w:ind w:firstLine="420" w:firstLineChars="200"/>
        <w:jc w:val="left"/>
        <w:rPr>
          <w:rFonts w:ascii="宋体" w:hAnsi="宋体" w:cs="宋体"/>
          <w:color w:val="auto"/>
          <w:kern w:val="10"/>
          <w:szCs w:val="21"/>
        </w:rPr>
      </w:pPr>
      <w:r>
        <w:rPr>
          <w:rFonts w:hint="eastAsia" w:ascii="宋体" w:hAnsi="宋体" w:cs="宋体"/>
          <w:color w:val="auto"/>
          <w:kern w:val="10"/>
          <w:szCs w:val="21"/>
        </w:rPr>
        <w:t>30.2变更采购方式</w:t>
      </w:r>
    </w:p>
    <w:p w14:paraId="75892405">
      <w:pPr>
        <w:spacing w:line="440" w:lineRule="exact"/>
        <w:ind w:firstLine="420" w:firstLineChars="200"/>
        <w:jc w:val="left"/>
        <w:rPr>
          <w:rFonts w:ascii="宋体" w:hAnsi="宋体" w:cs="宋体"/>
          <w:color w:val="auto"/>
          <w:kern w:val="10"/>
          <w:szCs w:val="21"/>
        </w:rPr>
      </w:pPr>
      <w:r>
        <w:rPr>
          <w:rFonts w:hint="eastAsia" w:ascii="宋体" w:hAnsi="宋体" w:cs="宋体"/>
          <w:color w:val="auto"/>
          <w:kern w:val="10"/>
          <w:szCs w:val="21"/>
        </w:rPr>
        <w:t>按照滁州市公管局和财政局相关规定执行。</w:t>
      </w:r>
      <w:bookmarkEnd w:id="63"/>
    </w:p>
    <w:bookmarkEnd w:id="62"/>
    <w:p w14:paraId="2675F88B">
      <w:pPr>
        <w:spacing w:beforeLines="50" w:afterLines="50" w:line="440" w:lineRule="exact"/>
        <w:jc w:val="center"/>
        <w:rPr>
          <w:rFonts w:ascii="宋体" w:hAnsi="宋体" w:cs="宋体"/>
          <w:b/>
          <w:color w:val="auto"/>
          <w:sz w:val="28"/>
          <w:szCs w:val="28"/>
        </w:rPr>
      </w:pPr>
      <w:bookmarkStart w:id="64" w:name="_Toc22765"/>
      <w:bookmarkStart w:id="65" w:name="_Toc35549363"/>
      <w:bookmarkStart w:id="66" w:name="_Toc2731"/>
      <w:bookmarkStart w:id="67" w:name="_Toc15796"/>
      <w:bookmarkStart w:id="68" w:name="_Toc35549717"/>
      <w:r>
        <w:rPr>
          <w:rFonts w:hint="eastAsia" w:ascii="宋体" w:hAnsi="宋体" w:cs="宋体"/>
          <w:b/>
          <w:color w:val="auto"/>
          <w:sz w:val="28"/>
          <w:szCs w:val="28"/>
        </w:rPr>
        <w:t>（六）合同的授予</w:t>
      </w:r>
    </w:p>
    <w:p w14:paraId="282F7FC0">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31. 合同授予标准</w:t>
      </w:r>
    </w:p>
    <w:p w14:paraId="6113FC31">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31.1  本招标项目的合同将授予按本投标须知第29条规定所确定的中标人。</w:t>
      </w:r>
    </w:p>
    <w:p w14:paraId="03613442">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32. 合同协议书的签订</w:t>
      </w:r>
    </w:p>
    <w:p w14:paraId="5EF81D36">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32.1采购人与中标人将于中标通知书发出之日起7个工作日内，按照招标文件和中标人的投标文件订立书面采购合同。采购人和中标人不得再行订立背离合同实质性内容的其他协议。</w:t>
      </w:r>
    </w:p>
    <w:p w14:paraId="7527E007">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32.2 采购人如不按本投标须知第29条的规定与中标人订立合同，或者采购人、中标人订立背离合同实质性内容的协议，给他人造成损失的，依法承担民事责任，同时依法承担相应法律责任。</w:t>
      </w:r>
    </w:p>
    <w:p w14:paraId="36A27ED5">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32.3中标人如不按本投标须知第29条的规定与采购人订立合同，则采购人将废除授标，给采购人造成损失的，依法承担民事责任，同时依法承担相应法律责任。</w:t>
      </w:r>
    </w:p>
    <w:p w14:paraId="3D994936">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32.4中标人应当按照合同约定履行义务，完成中标项目，不得将中标项目转让（转包）给他人。</w:t>
      </w:r>
    </w:p>
    <w:p w14:paraId="73AAA30E">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32.5招标文件对服务技术人员有证书等具体要求的，中标人在合同履行过程中不得擅自更换。因特殊情况，确需更换的，更换后的服务技术人员不得低于中标人的投标文件中委派服务技术人员资格条件，且须经采购人同意。</w:t>
      </w:r>
    </w:p>
    <w:p w14:paraId="7D3BE3AF">
      <w:pPr>
        <w:spacing w:line="440" w:lineRule="exact"/>
        <w:ind w:firstLine="420" w:firstLineChars="200"/>
        <w:jc w:val="left"/>
        <w:rPr>
          <w:rFonts w:ascii="宋体" w:hAnsi="宋体" w:cs="宋体"/>
          <w:b/>
          <w:color w:val="auto"/>
          <w:szCs w:val="21"/>
        </w:rPr>
      </w:pPr>
      <w:r>
        <w:rPr>
          <w:rFonts w:hint="eastAsia" w:ascii="宋体" w:hAnsi="宋体" w:cs="宋体"/>
          <w:color w:val="auto"/>
          <w:szCs w:val="21"/>
        </w:rPr>
        <w:t>32.6依据《政府采购促进中小企业发展管理办法》规定享受扶持政策获得政府采购合同的，小微企业不得将合同分包给大中型企业，中型企业不得将合同分包给大型企业</w:t>
      </w:r>
      <w:r>
        <w:rPr>
          <w:rFonts w:hint="eastAsia" w:ascii="宋体" w:hAnsi="宋体" w:cs="宋体"/>
          <w:bCs/>
          <w:color w:val="auto"/>
          <w:szCs w:val="21"/>
        </w:rPr>
        <w:t>。</w:t>
      </w:r>
    </w:p>
    <w:p w14:paraId="5EFD9E3B">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33.</w:t>
      </w:r>
      <w:bookmarkStart w:id="69" w:name="_Toc217446068"/>
      <w:r>
        <w:rPr>
          <w:rFonts w:hint="eastAsia" w:ascii="宋体" w:hAnsi="宋体" w:cs="宋体"/>
          <w:b/>
          <w:color w:val="auto"/>
          <w:szCs w:val="21"/>
        </w:rPr>
        <w:t xml:space="preserve"> 履约</w:t>
      </w:r>
      <w:bookmarkEnd w:id="69"/>
      <w:r>
        <w:rPr>
          <w:rFonts w:hint="eastAsia" w:ascii="宋体" w:hAnsi="宋体" w:cs="宋体"/>
          <w:b/>
          <w:color w:val="auto"/>
          <w:szCs w:val="21"/>
        </w:rPr>
        <w:t>担保</w:t>
      </w:r>
    </w:p>
    <w:p w14:paraId="09E8A1DE">
      <w:pPr>
        <w:spacing w:line="440" w:lineRule="exact"/>
        <w:ind w:firstLine="420" w:firstLineChars="200"/>
        <w:jc w:val="left"/>
        <w:rPr>
          <w:rFonts w:ascii="宋体" w:hAnsi="宋体" w:cs="宋体"/>
          <w:color w:val="auto"/>
          <w:szCs w:val="21"/>
        </w:rPr>
      </w:pPr>
      <w:bookmarkStart w:id="70" w:name="_Toc449028874"/>
      <w:r>
        <w:rPr>
          <w:rFonts w:hint="eastAsia" w:ascii="宋体" w:hAnsi="宋体" w:cs="宋体"/>
          <w:color w:val="auto"/>
          <w:szCs w:val="21"/>
        </w:rPr>
        <w:t>33.1本项目不缴纳履约保证金。</w:t>
      </w:r>
    </w:p>
    <w:p w14:paraId="01309A13">
      <w:pPr>
        <w:spacing w:beforeLines="50" w:afterLines="50" w:line="440" w:lineRule="exact"/>
        <w:jc w:val="center"/>
        <w:rPr>
          <w:rFonts w:ascii="宋体" w:hAnsi="宋体" w:cs="宋体"/>
          <w:b/>
          <w:color w:val="auto"/>
          <w:sz w:val="28"/>
          <w:szCs w:val="28"/>
        </w:rPr>
      </w:pPr>
      <w:r>
        <w:rPr>
          <w:rFonts w:hint="eastAsia" w:ascii="宋体" w:hAnsi="宋体" w:cs="宋体"/>
          <w:b/>
          <w:color w:val="auto"/>
          <w:sz w:val="28"/>
          <w:szCs w:val="28"/>
        </w:rPr>
        <w:t>（七）纪律和监督</w:t>
      </w:r>
      <w:bookmarkEnd w:id="70"/>
    </w:p>
    <w:p w14:paraId="3CB39C88">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 xml:space="preserve">34. 对采购人的纪律要求 </w:t>
      </w:r>
    </w:p>
    <w:p w14:paraId="0161D096">
      <w:pPr>
        <w:adjustRightInd w:val="0"/>
        <w:snapToGrid w:val="0"/>
        <w:spacing w:line="440" w:lineRule="exact"/>
        <w:ind w:firstLine="420" w:firstLineChars="200"/>
        <w:jc w:val="left"/>
        <w:rPr>
          <w:rFonts w:ascii="宋体" w:hAnsi="宋体" w:cs="宋体"/>
          <w:color w:val="auto"/>
          <w:kern w:val="10"/>
          <w:szCs w:val="21"/>
        </w:rPr>
      </w:pPr>
      <w:r>
        <w:rPr>
          <w:rFonts w:hint="eastAsia" w:ascii="宋体" w:hAnsi="宋体" w:cs="宋体"/>
          <w:color w:val="auto"/>
          <w:kern w:val="10"/>
          <w:szCs w:val="21"/>
        </w:rPr>
        <w:t xml:space="preserve">34.1采购人不得泄漏招标投标活动中应当保密的情况和资料，不得与投标人串通损害国家利益，社会公共利益或者他人合法权益。 </w:t>
      </w:r>
    </w:p>
    <w:p w14:paraId="255F060B">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 xml:space="preserve">35. 对投标人的纪律要求 </w:t>
      </w:r>
    </w:p>
    <w:p w14:paraId="26E12DCF">
      <w:pPr>
        <w:adjustRightInd w:val="0"/>
        <w:snapToGrid w:val="0"/>
        <w:spacing w:line="440" w:lineRule="exact"/>
        <w:ind w:firstLine="420" w:firstLineChars="200"/>
        <w:jc w:val="left"/>
        <w:rPr>
          <w:rFonts w:ascii="宋体" w:hAnsi="宋体" w:cs="宋体"/>
          <w:color w:val="auto"/>
          <w:kern w:val="10"/>
          <w:szCs w:val="21"/>
        </w:rPr>
      </w:pPr>
      <w:r>
        <w:rPr>
          <w:rFonts w:hint="eastAsia" w:ascii="宋体" w:hAnsi="宋体" w:cs="宋体"/>
          <w:color w:val="auto"/>
          <w:kern w:val="10"/>
          <w:szCs w:val="21"/>
        </w:rPr>
        <w:t>35.1投标人不得相互串通投标或者与采购人串通投标，不得向采购人或者评标委员会成员行贿谋取中标，不得以他人名义投标或者以其他方式弄虚作假骗取中标；投标人不得以任何方式干扰、影响评标工作。</w:t>
      </w:r>
    </w:p>
    <w:p w14:paraId="1C7C3D37">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 xml:space="preserve">36. 对评标委员会成员的纪律要求 </w:t>
      </w:r>
    </w:p>
    <w:p w14:paraId="5A43A59A">
      <w:pPr>
        <w:adjustRightInd w:val="0"/>
        <w:snapToGrid w:val="0"/>
        <w:spacing w:line="440" w:lineRule="exact"/>
        <w:ind w:firstLine="420" w:firstLineChars="200"/>
        <w:jc w:val="left"/>
        <w:rPr>
          <w:rFonts w:ascii="宋体" w:hAnsi="宋体" w:cs="宋体"/>
          <w:color w:val="auto"/>
          <w:kern w:val="10"/>
          <w:szCs w:val="21"/>
        </w:rPr>
      </w:pPr>
      <w:r>
        <w:rPr>
          <w:rFonts w:hint="eastAsia" w:ascii="宋体" w:hAnsi="宋体" w:cs="宋体"/>
          <w:color w:val="auto"/>
          <w:kern w:val="10"/>
          <w:szCs w:val="21"/>
        </w:rPr>
        <w:t>36.1评标委员会成员不得收受他人的财物或者其他好处，不得向他人透漏对投标文件的评审和比较、中标候选人的推荐情况以及评标有关的其他情况。</w:t>
      </w:r>
    </w:p>
    <w:p w14:paraId="755A9E62">
      <w:pPr>
        <w:adjustRightInd w:val="0"/>
        <w:snapToGrid w:val="0"/>
        <w:spacing w:line="440" w:lineRule="exact"/>
        <w:ind w:firstLine="420" w:firstLineChars="200"/>
        <w:jc w:val="left"/>
        <w:rPr>
          <w:rFonts w:ascii="宋体" w:hAnsi="宋体" w:cs="宋体"/>
          <w:color w:val="auto"/>
          <w:kern w:val="10"/>
          <w:szCs w:val="21"/>
        </w:rPr>
      </w:pPr>
      <w:r>
        <w:rPr>
          <w:rFonts w:hint="eastAsia" w:ascii="宋体" w:hAnsi="宋体" w:cs="宋体"/>
          <w:color w:val="auto"/>
          <w:kern w:val="10"/>
          <w:szCs w:val="21"/>
        </w:rPr>
        <w:t xml:space="preserve">36.2在评标活动中，评标委员会成员不得擅离职守，影响评标程序正常进行，不得使用第三章“评标办法”没有规定的评审因素和标准进行评标。 </w:t>
      </w:r>
    </w:p>
    <w:p w14:paraId="46E2A97F">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 xml:space="preserve">37. 对与评标活动有关的工作人员的纪律要求 </w:t>
      </w:r>
    </w:p>
    <w:p w14:paraId="66058620">
      <w:pPr>
        <w:adjustRightInd w:val="0"/>
        <w:snapToGrid w:val="0"/>
        <w:spacing w:line="440" w:lineRule="exact"/>
        <w:ind w:firstLine="420" w:firstLineChars="200"/>
        <w:jc w:val="left"/>
        <w:rPr>
          <w:rFonts w:ascii="宋体" w:hAnsi="宋体" w:cs="宋体"/>
          <w:color w:val="auto"/>
          <w:kern w:val="10"/>
          <w:szCs w:val="21"/>
        </w:rPr>
      </w:pPr>
      <w:r>
        <w:rPr>
          <w:rFonts w:hint="eastAsia" w:ascii="宋体" w:hAnsi="宋体" w:cs="宋体"/>
          <w:color w:val="auto"/>
          <w:kern w:val="10"/>
          <w:szCs w:val="21"/>
        </w:rPr>
        <w:t>37.1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61C7D5C">
      <w:pPr>
        <w:spacing w:beforeLines="50" w:afterLines="50" w:line="440" w:lineRule="exact"/>
        <w:jc w:val="center"/>
        <w:rPr>
          <w:rFonts w:ascii="宋体" w:hAnsi="宋体" w:cs="宋体"/>
          <w:b/>
          <w:color w:val="auto"/>
          <w:sz w:val="28"/>
          <w:szCs w:val="28"/>
        </w:rPr>
      </w:pPr>
      <w:bookmarkStart w:id="71" w:name="_Toc449028875"/>
      <w:r>
        <w:rPr>
          <w:rFonts w:hint="eastAsia" w:ascii="宋体" w:hAnsi="宋体" w:cs="宋体"/>
          <w:b/>
          <w:color w:val="auto"/>
          <w:sz w:val="28"/>
          <w:szCs w:val="28"/>
        </w:rPr>
        <w:t>（八）质疑与投诉</w:t>
      </w:r>
      <w:bookmarkEnd w:id="71"/>
    </w:p>
    <w:p w14:paraId="5AD423BB">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38. 询问、质疑</w:t>
      </w:r>
    </w:p>
    <w:p w14:paraId="4FE4AE6B">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38.1 投标人对招标活动事项有疑问的，可以向采购人提出询问，采购人将在三个工作日内作出答复，但答复的内容不涉及商业秘密。</w:t>
      </w:r>
    </w:p>
    <w:p w14:paraId="7838E9B0">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38.2 投标人认为采购文件、采购过程和中标结果使自己的合法权益受到损害的，可以在知道或者应当知道其权益受到损害之日起七个工作日内</w:t>
      </w:r>
      <w:r>
        <w:rPr>
          <w:rFonts w:hint="eastAsia" w:ascii="宋体" w:hAnsi="宋体" w:cs="宋体"/>
          <w:color w:val="auto"/>
          <w:szCs w:val="21"/>
          <w:u w:val="single"/>
        </w:rPr>
        <w:t>进行质疑</w:t>
      </w:r>
      <w:r>
        <w:rPr>
          <w:rFonts w:hint="eastAsia" w:ascii="宋体" w:hAnsi="宋体" w:cs="宋体"/>
          <w:color w:val="auto"/>
          <w:szCs w:val="21"/>
        </w:rPr>
        <w:t>，一份质疑函只能针对一个项目提出质疑，且针对同一招标采购程序环节的质疑应当一次性提出。</w:t>
      </w:r>
    </w:p>
    <w:p w14:paraId="28FCCDD9">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38.3中标公告发布后，参与投标的投标人对中标公告有质疑的，应该在公告期限届满之日起七个工作日内向采购人提出。但属于第38.1款问题，且未在规定时间提出质疑的，不予受理。</w:t>
      </w:r>
    </w:p>
    <w:p w14:paraId="4B319317">
      <w:pPr>
        <w:spacing w:line="440" w:lineRule="exact"/>
        <w:ind w:firstLine="420" w:firstLineChars="200"/>
        <w:jc w:val="left"/>
        <w:rPr>
          <w:rFonts w:ascii="宋体" w:hAnsi="宋体" w:cs="宋体"/>
          <w:color w:val="auto"/>
          <w:kern w:val="10"/>
          <w:szCs w:val="21"/>
        </w:rPr>
      </w:pPr>
      <w:r>
        <w:rPr>
          <w:rFonts w:hint="eastAsia" w:ascii="宋体" w:hAnsi="宋体" w:cs="宋体"/>
          <w:color w:val="auto"/>
          <w:szCs w:val="21"/>
        </w:rPr>
        <w:t>38.4参与投标的投标人对中标公告提出的质疑，负有举证的责任。投标人提出质疑应当提交质疑函和必要的证明材料。质疑函应当包括下列内容</w:t>
      </w:r>
      <w:r>
        <w:rPr>
          <w:rFonts w:hint="eastAsia" w:ascii="宋体" w:hAnsi="宋体" w:cs="宋体"/>
          <w:color w:val="auto"/>
          <w:kern w:val="10"/>
          <w:szCs w:val="21"/>
        </w:rPr>
        <w:t>：</w:t>
      </w:r>
    </w:p>
    <w:p w14:paraId="094F4ACB">
      <w:pPr>
        <w:spacing w:line="440" w:lineRule="exact"/>
        <w:ind w:firstLine="315" w:firstLineChars="150"/>
        <w:jc w:val="left"/>
        <w:rPr>
          <w:rFonts w:ascii="宋体" w:hAnsi="宋体" w:cs="宋体"/>
          <w:color w:val="auto"/>
          <w:kern w:val="10"/>
          <w:szCs w:val="21"/>
        </w:rPr>
      </w:pPr>
      <w:r>
        <w:rPr>
          <w:rFonts w:hint="eastAsia" w:ascii="宋体" w:hAnsi="宋体" w:cs="宋体"/>
          <w:color w:val="auto"/>
          <w:kern w:val="10"/>
          <w:szCs w:val="21"/>
        </w:rPr>
        <w:t>（一）投标人的姓名或者名称、地址、邮编、联系人及联系电话；</w:t>
      </w:r>
    </w:p>
    <w:p w14:paraId="39DCC467">
      <w:pPr>
        <w:spacing w:line="440" w:lineRule="exact"/>
        <w:ind w:firstLine="315" w:firstLineChars="150"/>
        <w:jc w:val="left"/>
        <w:rPr>
          <w:rFonts w:ascii="宋体" w:hAnsi="宋体" w:cs="宋体"/>
          <w:color w:val="auto"/>
          <w:kern w:val="10"/>
          <w:szCs w:val="21"/>
        </w:rPr>
      </w:pPr>
      <w:r>
        <w:rPr>
          <w:rFonts w:hint="eastAsia" w:ascii="宋体" w:hAnsi="宋体" w:cs="宋体"/>
          <w:color w:val="auto"/>
          <w:kern w:val="10"/>
          <w:szCs w:val="21"/>
        </w:rPr>
        <w:t>（二）质疑项目的名称、编号；</w:t>
      </w:r>
    </w:p>
    <w:p w14:paraId="1FFF24AD">
      <w:pPr>
        <w:spacing w:line="440" w:lineRule="exact"/>
        <w:ind w:firstLine="315" w:firstLineChars="150"/>
        <w:jc w:val="left"/>
        <w:rPr>
          <w:rFonts w:ascii="宋体" w:hAnsi="宋体" w:cs="宋体"/>
          <w:color w:val="auto"/>
          <w:kern w:val="10"/>
          <w:szCs w:val="21"/>
        </w:rPr>
      </w:pPr>
      <w:r>
        <w:rPr>
          <w:rFonts w:hint="eastAsia" w:ascii="宋体" w:hAnsi="宋体" w:cs="宋体"/>
          <w:color w:val="auto"/>
          <w:kern w:val="10"/>
          <w:szCs w:val="21"/>
        </w:rPr>
        <w:t>（三）具体、明确的质疑事项和与质疑事项相关的请求；</w:t>
      </w:r>
    </w:p>
    <w:p w14:paraId="0C4D7632">
      <w:pPr>
        <w:spacing w:line="440" w:lineRule="exact"/>
        <w:ind w:firstLine="315" w:firstLineChars="150"/>
        <w:jc w:val="left"/>
        <w:rPr>
          <w:rFonts w:ascii="宋体" w:hAnsi="宋体" w:cs="宋体"/>
          <w:color w:val="auto"/>
          <w:kern w:val="10"/>
          <w:szCs w:val="21"/>
        </w:rPr>
      </w:pPr>
      <w:r>
        <w:rPr>
          <w:rFonts w:hint="eastAsia" w:ascii="宋体" w:hAnsi="宋体" w:cs="宋体"/>
          <w:color w:val="auto"/>
          <w:kern w:val="10"/>
          <w:szCs w:val="21"/>
        </w:rPr>
        <w:t>（四）事实依据；</w:t>
      </w:r>
    </w:p>
    <w:p w14:paraId="2BC65B64">
      <w:pPr>
        <w:spacing w:line="440" w:lineRule="exact"/>
        <w:ind w:firstLine="315" w:firstLineChars="150"/>
        <w:jc w:val="left"/>
        <w:rPr>
          <w:rFonts w:ascii="宋体" w:hAnsi="宋体" w:cs="宋体"/>
          <w:color w:val="auto"/>
          <w:kern w:val="10"/>
          <w:szCs w:val="21"/>
        </w:rPr>
      </w:pPr>
      <w:r>
        <w:rPr>
          <w:rFonts w:hint="eastAsia" w:ascii="宋体" w:hAnsi="宋体" w:cs="宋体"/>
          <w:color w:val="auto"/>
          <w:kern w:val="10"/>
          <w:szCs w:val="21"/>
        </w:rPr>
        <w:t>（五）必要的法律依据；</w:t>
      </w:r>
    </w:p>
    <w:p w14:paraId="3A31D913">
      <w:pPr>
        <w:spacing w:line="440" w:lineRule="exact"/>
        <w:ind w:firstLine="315" w:firstLineChars="150"/>
        <w:jc w:val="left"/>
        <w:rPr>
          <w:rFonts w:ascii="宋体" w:hAnsi="宋体" w:cs="宋体"/>
          <w:color w:val="auto"/>
          <w:kern w:val="10"/>
          <w:szCs w:val="21"/>
        </w:rPr>
      </w:pPr>
      <w:r>
        <w:rPr>
          <w:rFonts w:hint="eastAsia" w:ascii="宋体" w:hAnsi="宋体" w:cs="宋体"/>
          <w:color w:val="auto"/>
          <w:kern w:val="10"/>
          <w:szCs w:val="21"/>
        </w:rPr>
        <w:t>（六）提出质疑的日期。</w:t>
      </w:r>
    </w:p>
    <w:p w14:paraId="0A28C6A2">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投标人为自然人的，应当由本人签字；投标人为法人或者其他组织的，应当由法定代表人、主要负责人，或者其授权代表签字或者盖章，并加盖公章。</w:t>
      </w:r>
    </w:p>
    <w:p w14:paraId="36001F69">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38.5采购人或采购代理机构在收到投标人的质疑函后，将审查质疑函的格式、内容以及所附的证明文件是否符合要求。如不符合，说明原因退回投标人；如符合要求，则接受该质疑函。</w:t>
      </w:r>
    </w:p>
    <w:p w14:paraId="520FBFCB">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38.6处理质疑的时间，从实际接受投标人质疑函的时间开始计算。</w:t>
      </w:r>
    </w:p>
    <w:p w14:paraId="3CDA7760">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39.投诉</w:t>
      </w:r>
    </w:p>
    <w:p w14:paraId="54C10460">
      <w:pPr>
        <w:spacing w:line="440" w:lineRule="exact"/>
        <w:ind w:firstLine="420" w:firstLineChars="200"/>
        <w:jc w:val="left"/>
        <w:rPr>
          <w:rFonts w:hAnsi="黑体" w:cs="黑体"/>
          <w:b/>
          <w:bCs/>
          <w:color w:val="auto"/>
          <w:sz w:val="32"/>
          <w:szCs w:val="32"/>
        </w:rPr>
      </w:pPr>
      <w:r>
        <w:rPr>
          <w:rFonts w:hint="eastAsia" w:ascii="宋体" w:hAnsi="宋体" w:cs="宋体"/>
          <w:color w:val="auto"/>
          <w:szCs w:val="21"/>
        </w:rPr>
        <w:t>39.1投标人对采购人的答复不满意，或者采购人未在规定的时间内答复的，可以在答复期满后十五个工作日内按有关规定，以书面形式向同级政府采购监督管理部门提出投诉或者线上提交投诉材料。</w:t>
      </w:r>
      <w:r>
        <w:rPr>
          <w:rFonts w:ascii="宋体"/>
          <w:b/>
          <w:color w:val="auto"/>
          <w:sz w:val="32"/>
          <w:szCs w:val="32"/>
        </w:rPr>
        <w:br w:type="page"/>
      </w:r>
      <w:r>
        <w:rPr>
          <w:rFonts w:hint="eastAsia" w:ascii="宋体"/>
          <w:b/>
          <w:color w:val="auto"/>
          <w:sz w:val="32"/>
          <w:szCs w:val="32"/>
        </w:rPr>
        <w:t xml:space="preserve">                       </w:t>
      </w:r>
      <w:r>
        <w:rPr>
          <w:rFonts w:hint="eastAsia" w:hAnsi="黑体" w:cs="黑体"/>
          <w:b/>
          <w:bCs/>
          <w:color w:val="auto"/>
          <w:sz w:val="32"/>
          <w:szCs w:val="32"/>
        </w:rPr>
        <w:t>第三章  评标办法</w:t>
      </w:r>
      <w:bookmarkEnd w:id="64"/>
      <w:bookmarkEnd w:id="65"/>
      <w:bookmarkEnd w:id="66"/>
      <w:bookmarkEnd w:id="67"/>
      <w:bookmarkEnd w:id="68"/>
    </w:p>
    <w:p w14:paraId="301586AC">
      <w:pPr>
        <w:pStyle w:val="4"/>
        <w:spacing w:beforeLines="50" w:afterLines="50" w:line="440" w:lineRule="exact"/>
        <w:rPr>
          <w:rFonts w:ascii="黑体" w:hAnsi="黑体" w:eastAsia="黑体" w:cs="黑体"/>
          <w:color w:val="auto"/>
          <w:sz w:val="28"/>
          <w:szCs w:val="28"/>
        </w:rPr>
      </w:pPr>
      <w:bookmarkStart w:id="72" w:name="_Toc35549364"/>
      <w:bookmarkStart w:id="73" w:name="_Toc1311"/>
      <w:bookmarkStart w:id="74" w:name="_Toc35549718"/>
      <w:bookmarkStart w:id="75" w:name="_Toc16632"/>
      <w:bookmarkStart w:id="76" w:name="_Toc18847"/>
      <w:r>
        <w:rPr>
          <w:rFonts w:hint="eastAsia" w:ascii="黑体" w:hAnsi="黑体" w:eastAsia="黑体" w:cs="黑体"/>
          <w:color w:val="auto"/>
          <w:sz w:val="28"/>
          <w:szCs w:val="28"/>
        </w:rPr>
        <w:t>一  总则</w:t>
      </w:r>
      <w:bookmarkEnd w:id="72"/>
      <w:bookmarkEnd w:id="73"/>
      <w:bookmarkEnd w:id="74"/>
      <w:bookmarkEnd w:id="75"/>
      <w:bookmarkEnd w:id="76"/>
    </w:p>
    <w:p w14:paraId="08096FEA">
      <w:pPr>
        <w:spacing w:line="440" w:lineRule="exact"/>
        <w:ind w:firstLine="422" w:firstLineChars="200"/>
        <w:jc w:val="left"/>
        <w:rPr>
          <w:rFonts w:ascii="宋体" w:hAnsi="宋体" w:cs="宋体"/>
          <w:b/>
          <w:bCs/>
          <w:color w:val="auto"/>
          <w:szCs w:val="21"/>
        </w:rPr>
      </w:pPr>
      <w:r>
        <w:rPr>
          <w:rFonts w:hint="eastAsia" w:ascii="宋体" w:hAnsi="宋体" w:cs="宋体"/>
          <w:b/>
          <w:bCs/>
          <w:color w:val="auto"/>
          <w:szCs w:val="21"/>
        </w:rPr>
        <w:t xml:space="preserve"> 1. 本次评标采用综合评分法</w:t>
      </w:r>
    </w:p>
    <w:p w14:paraId="03BE3895">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1.1综合评分法是指投标文件满足招标文件全部实质性要求且按照评审因素的量化指标评审总得分从高到低的投标人为中标候选人的评标方法。</w:t>
      </w:r>
    </w:p>
    <w:p w14:paraId="48E6274C">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 1.2综合评分法一般适用于较为复杂、评价指标难以量化且价格为非主要因素的非标准定制商品和非通用服务项目的项目评审。</w:t>
      </w:r>
    </w:p>
    <w:p w14:paraId="6A940EB6">
      <w:pPr>
        <w:spacing w:line="440" w:lineRule="exact"/>
        <w:ind w:firstLine="422" w:firstLineChars="200"/>
        <w:jc w:val="left"/>
        <w:rPr>
          <w:rFonts w:ascii="宋体" w:hAnsi="宋体" w:cs="宋体"/>
          <w:b/>
          <w:bCs/>
          <w:color w:val="auto"/>
          <w:szCs w:val="21"/>
        </w:rPr>
      </w:pPr>
      <w:r>
        <w:rPr>
          <w:rFonts w:hint="eastAsia" w:ascii="宋体" w:hAnsi="宋体" w:cs="宋体"/>
          <w:b/>
          <w:bCs/>
          <w:color w:val="auto"/>
          <w:szCs w:val="21"/>
        </w:rPr>
        <w:t>2．评标程序</w:t>
      </w:r>
    </w:p>
    <w:p w14:paraId="6BA96218">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2.1投标文件的初审</w:t>
      </w:r>
    </w:p>
    <w:p w14:paraId="0FC4FC5F">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2.1.1资格性检查。依据法律法规和招标文件的规定，对投标文件中的资格证明等进行审查，以确定投标人是否具备投标资格。 </w:t>
      </w:r>
    </w:p>
    <w:p w14:paraId="192AFB76">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2.1.2符合性检查。依据招标文件的规定，从投标文件的有效性、完整性和对招标文件的响应程度进行审查，以确定投标人是否对招标文件的实质性要求作出响应。</w:t>
      </w:r>
    </w:p>
    <w:p w14:paraId="52ACC0F7">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2.2投标文件的澄清</w:t>
      </w:r>
    </w:p>
    <w:p w14:paraId="62E2CF21">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2.3比较与评价</w:t>
      </w:r>
    </w:p>
    <w:p w14:paraId="5B62AA0B">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2.3.1按招标文件中规定的评标方法和标准，对资格性检查和符合性检查合格的投标文件进行资信、商务和技术评估，综合比较与评价。</w:t>
      </w:r>
    </w:p>
    <w:p w14:paraId="7CB20B70">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    2.4推荐中标候选人名单</w:t>
      </w:r>
    </w:p>
    <w:p w14:paraId="3E8A68CC">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2.4.1中标候选人数量应当根据采购需要确定，但必须按顺序排列中标候选人。</w:t>
      </w:r>
    </w:p>
    <w:p w14:paraId="509C59D4">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2.5在投标文件的审查、澄清、评价和比较以及授予合同过程中，投标人对采购人和评标委员会成员施加影响的任何行为，都将导致取消其中标资格。</w:t>
      </w:r>
    </w:p>
    <w:p w14:paraId="0E18E882">
      <w:pPr>
        <w:pStyle w:val="4"/>
        <w:spacing w:beforeLines="50" w:afterLines="50" w:line="440" w:lineRule="exact"/>
        <w:rPr>
          <w:rFonts w:ascii="黑体" w:hAnsi="黑体" w:eastAsia="黑体" w:cs="黑体"/>
          <w:color w:val="auto"/>
          <w:sz w:val="28"/>
          <w:szCs w:val="28"/>
        </w:rPr>
      </w:pPr>
      <w:bookmarkStart w:id="77" w:name="_Toc30009"/>
      <w:bookmarkStart w:id="78" w:name="_Toc25476"/>
      <w:bookmarkStart w:id="79" w:name="_Toc35549719"/>
      <w:bookmarkStart w:id="80" w:name="_Toc29564"/>
      <w:bookmarkStart w:id="81" w:name="_Toc35549365"/>
    </w:p>
    <w:p w14:paraId="630FC214">
      <w:pPr>
        <w:pStyle w:val="4"/>
        <w:spacing w:beforeLines="50" w:afterLines="50" w:line="440" w:lineRule="exact"/>
        <w:rPr>
          <w:rFonts w:ascii="黑体" w:hAnsi="黑体" w:eastAsia="黑体" w:cs="黑体"/>
          <w:color w:val="auto"/>
          <w:sz w:val="28"/>
          <w:szCs w:val="28"/>
        </w:rPr>
      </w:pPr>
    </w:p>
    <w:p w14:paraId="494F53E5">
      <w:pPr>
        <w:rPr>
          <w:rFonts w:ascii="黑体" w:hAnsi="黑体" w:eastAsia="黑体" w:cs="黑体"/>
          <w:color w:val="auto"/>
          <w:sz w:val="28"/>
          <w:szCs w:val="28"/>
        </w:rPr>
      </w:pPr>
    </w:p>
    <w:p w14:paraId="507A7944">
      <w:pPr>
        <w:pStyle w:val="39"/>
        <w:ind w:firstLine="560"/>
        <w:rPr>
          <w:rFonts w:ascii="黑体" w:hAnsi="黑体" w:eastAsia="黑体" w:cs="黑体"/>
          <w:color w:val="auto"/>
          <w:sz w:val="28"/>
          <w:szCs w:val="28"/>
        </w:rPr>
      </w:pPr>
    </w:p>
    <w:p w14:paraId="03D6E58C">
      <w:pPr>
        <w:pStyle w:val="4"/>
        <w:spacing w:beforeLines="50" w:afterLines="50" w:line="440" w:lineRule="exact"/>
        <w:jc w:val="both"/>
        <w:rPr>
          <w:rFonts w:ascii="黑体" w:hAnsi="黑体" w:eastAsia="黑体" w:cs="黑体"/>
          <w:color w:val="auto"/>
          <w:sz w:val="28"/>
          <w:szCs w:val="28"/>
        </w:rPr>
      </w:pPr>
    </w:p>
    <w:p w14:paraId="52822280">
      <w:pPr>
        <w:rPr>
          <w:color w:val="auto"/>
        </w:rPr>
      </w:pPr>
    </w:p>
    <w:p w14:paraId="38DB368B">
      <w:pPr>
        <w:pStyle w:val="4"/>
        <w:spacing w:beforeLines="50" w:afterLines="50" w:line="440" w:lineRule="exact"/>
        <w:rPr>
          <w:rFonts w:ascii="黑体" w:hAnsi="黑体" w:eastAsia="黑体" w:cs="黑体"/>
          <w:color w:val="auto"/>
          <w:sz w:val="28"/>
          <w:szCs w:val="28"/>
        </w:rPr>
      </w:pPr>
    </w:p>
    <w:p w14:paraId="2D94CE09">
      <w:pPr>
        <w:pStyle w:val="4"/>
        <w:spacing w:beforeLines="50" w:afterLines="50" w:line="440" w:lineRule="exact"/>
        <w:rPr>
          <w:rFonts w:ascii="黑体" w:hAnsi="黑体" w:eastAsia="黑体" w:cs="黑体"/>
          <w:color w:val="auto"/>
          <w:sz w:val="28"/>
          <w:szCs w:val="28"/>
        </w:rPr>
      </w:pPr>
      <w:r>
        <w:rPr>
          <w:rFonts w:hint="eastAsia" w:ascii="黑体" w:hAnsi="黑体" w:eastAsia="黑体" w:cs="黑体"/>
          <w:color w:val="auto"/>
          <w:sz w:val="28"/>
          <w:szCs w:val="28"/>
        </w:rPr>
        <w:t>二  投标文件初审</w:t>
      </w:r>
      <w:bookmarkEnd w:id="77"/>
      <w:bookmarkEnd w:id="78"/>
      <w:bookmarkEnd w:id="79"/>
      <w:bookmarkEnd w:id="80"/>
      <w:bookmarkEnd w:id="81"/>
    </w:p>
    <w:p w14:paraId="5C238C0F">
      <w:pPr>
        <w:spacing w:line="440" w:lineRule="exact"/>
        <w:ind w:firstLine="422" w:firstLineChars="200"/>
        <w:rPr>
          <w:rFonts w:ascii="宋体" w:hAnsi="宋体" w:cs="宋体"/>
          <w:color w:val="auto"/>
          <w:szCs w:val="21"/>
        </w:rPr>
      </w:pPr>
      <w:r>
        <w:rPr>
          <w:rFonts w:hint="eastAsia" w:ascii="宋体" w:hAnsi="宋体" w:cs="宋体"/>
          <w:b/>
          <w:color w:val="auto"/>
          <w:szCs w:val="21"/>
        </w:rPr>
        <w:t>3.资格性审查:</w:t>
      </w:r>
    </w:p>
    <w:p w14:paraId="34F56BAE">
      <w:pPr>
        <w:spacing w:line="440" w:lineRule="exact"/>
        <w:ind w:firstLine="420" w:firstLineChars="200"/>
        <w:rPr>
          <w:rFonts w:ascii="宋体" w:hAnsi="宋体" w:cs="宋体"/>
          <w:color w:val="auto"/>
          <w:szCs w:val="21"/>
        </w:rPr>
      </w:pPr>
      <w:r>
        <w:rPr>
          <w:rFonts w:hint="eastAsia" w:ascii="宋体" w:hAnsi="宋体" w:cs="宋体"/>
          <w:color w:val="auto"/>
          <w:szCs w:val="21"/>
        </w:rPr>
        <w:t>3.1评审细则</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761"/>
        <w:gridCol w:w="3300"/>
        <w:gridCol w:w="4307"/>
      </w:tblGrid>
      <w:tr w14:paraId="273F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85" w:type="dxa"/>
            <w:vAlign w:val="center"/>
          </w:tcPr>
          <w:p w14:paraId="7B3596BA">
            <w:pPr>
              <w:spacing w:line="440" w:lineRule="exact"/>
              <w:jc w:val="center"/>
              <w:rPr>
                <w:rFonts w:ascii="宋体" w:hAnsi="宋体" w:cs="宋体"/>
                <w:b/>
                <w:bCs/>
                <w:color w:val="auto"/>
                <w:szCs w:val="21"/>
              </w:rPr>
            </w:pPr>
            <w:r>
              <w:rPr>
                <w:rFonts w:hint="eastAsia" w:ascii="宋体" w:hAnsi="宋体" w:cs="宋体"/>
                <w:b/>
                <w:bCs/>
                <w:color w:val="auto"/>
                <w:szCs w:val="21"/>
              </w:rPr>
              <w:t>序号</w:t>
            </w:r>
          </w:p>
        </w:tc>
        <w:tc>
          <w:tcPr>
            <w:tcW w:w="5061" w:type="dxa"/>
            <w:gridSpan w:val="2"/>
            <w:vAlign w:val="center"/>
          </w:tcPr>
          <w:p w14:paraId="639A9F9F">
            <w:pPr>
              <w:spacing w:line="440" w:lineRule="exact"/>
              <w:jc w:val="center"/>
              <w:rPr>
                <w:rFonts w:ascii="宋体" w:hAnsi="宋体" w:cs="宋体"/>
                <w:b/>
                <w:bCs/>
                <w:color w:val="auto"/>
                <w:szCs w:val="21"/>
              </w:rPr>
            </w:pPr>
            <w:r>
              <w:rPr>
                <w:rFonts w:hint="eastAsia" w:ascii="宋体" w:hAnsi="宋体" w:cs="宋体"/>
                <w:b/>
                <w:bCs/>
                <w:color w:val="auto"/>
                <w:szCs w:val="21"/>
              </w:rPr>
              <w:t>评审因素</w:t>
            </w:r>
          </w:p>
        </w:tc>
        <w:tc>
          <w:tcPr>
            <w:tcW w:w="4307" w:type="dxa"/>
            <w:vAlign w:val="center"/>
          </w:tcPr>
          <w:p w14:paraId="23FDE100">
            <w:pPr>
              <w:spacing w:line="440" w:lineRule="exact"/>
              <w:jc w:val="center"/>
              <w:rPr>
                <w:rFonts w:ascii="宋体" w:hAnsi="宋体" w:cs="宋体"/>
                <w:b/>
                <w:bCs/>
                <w:color w:val="auto"/>
                <w:szCs w:val="21"/>
              </w:rPr>
            </w:pPr>
            <w:r>
              <w:rPr>
                <w:rFonts w:hint="eastAsia" w:ascii="宋体" w:hAnsi="宋体" w:cs="宋体"/>
                <w:b/>
                <w:bCs/>
                <w:color w:val="auto"/>
                <w:szCs w:val="21"/>
              </w:rPr>
              <w:t>评审标准</w:t>
            </w:r>
          </w:p>
        </w:tc>
      </w:tr>
      <w:tr w14:paraId="6305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85" w:type="dxa"/>
            <w:vAlign w:val="center"/>
          </w:tcPr>
          <w:p w14:paraId="60256736">
            <w:pPr>
              <w:spacing w:line="440" w:lineRule="exact"/>
              <w:jc w:val="center"/>
              <w:rPr>
                <w:rFonts w:ascii="宋体" w:hAnsi="宋体" w:cs="宋体"/>
                <w:color w:val="auto"/>
                <w:szCs w:val="21"/>
              </w:rPr>
            </w:pPr>
            <w:r>
              <w:rPr>
                <w:rFonts w:hint="eastAsia" w:ascii="宋体" w:hAnsi="宋体" w:cs="宋体"/>
                <w:color w:val="auto"/>
                <w:szCs w:val="21"/>
              </w:rPr>
              <w:t>1</w:t>
            </w:r>
          </w:p>
        </w:tc>
        <w:tc>
          <w:tcPr>
            <w:tcW w:w="1761" w:type="dxa"/>
            <w:vAlign w:val="center"/>
          </w:tcPr>
          <w:p w14:paraId="28EC5465">
            <w:pPr>
              <w:spacing w:line="440" w:lineRule="exact"/>
              <w:jc w:val="center"/>
              <w:rPr>
                <w:rFonts w:ascii="宋体" w:hAnsi="宋体" w:cs="宋体"/>
                <w:color w:val="auto"/>
                <w:szCs w:val="21"/>
              </w:rPr>
            </w:pPr>
            <w:r>
              <w:rPr>
                <w:rFonts w:hint="eastAsia" w:ascii="宋体" w:hAnsi="宋体" w:cs="宋体"/>
                <w:color w:val="auto"/>
                <w:szCs w:val="21"/>
              </w:rPr>
              <w:t>重要要求</w:t>
            </w:r>
          </w:p>
        </w:tc>
        <w:tc>
          <w:tcPr>
            <w:tcW w:w="3300" w:type="dxa"/>
            <w:vAlign w:val="center"/>
          </w:tcPr>
          <w:p w14:paraId="001932D6">
            <w:pPr>
              <w:spacing w:line="440" w:lineRule="exact"/>
              <w:rPr>
                <w:rFonts w:ascii="宋体" w:hAnsi="宋体" w:cs="宋体"/>
                <w:color w:val="auto"/>
                <w:szCs w:val="21"/>
              </w:rPr>
            </w:pPr>
            <w:r>
              <w:rPr>
                <w:rFonts w:hint="eastAsia" w:ascii="宋体" w:hAnsi="宋体" w:cs="宋体"/>
                <w:color w:val="auto"/>
                <w:szCs w:val="21"/>
              </w:rPr>
              <w:t>（1）法定代表人身份证明及其有效身份证（或法定代表人授权委托书及其有效身份证）</w:t>
            </w:r>
          </w:p>
        </w:tc>
        <w:tc>
          <w:tcPr>
            <w:tcW w:w="4307" w:type="dxa"/>
            <w:vAlign w:val="center"/>
          </w:tcPr>
          <w:p w14:paraId="2C2410EA">
            <w:pPr>
              <w:spacing w:line="440" w:lineRule="exact"/>
              <w:rPr>
                <w:rFonts w:ascii="宋体" w:hAnsi="宋体" w:cs="宋体"/>
                <w:color w:val="auto"/>
                <w:szCs w:val="21"/>
              </w:rPr>
            </w:pPr>
            <w:r>
              <w:rPr>
                <w:rFonts w:hint="eastAsia" w:ascii="宋体" w:hAnsi="宋体" w:cs="宋体"/>
                <w:color w:val="auto"/>
                <w:szCs w:val="21"/>
              </w:rPr>
              <w:t xml:space="preserve"> 检验标书。</w:t>
            </w:r>
          </w:p>
        </w:tc>
      </w:tr>
      <w:tr w14:paraId="69E3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685" w:type="dxa"/>
            <w:vMerge w:val="restart"/>
            <w:vAlign w:val="center"/>
          </w:tcPr>
          <w:p w14:paraId="4A08DEDC">
            <w:pPr>
              <w:spacing w:line="440" w:lineRule="exact"/>
              <w:jc w:val="center"/>
              <w:rPr>
                <w:rFonts w:ascii="宋体" w:hAnsi="宋体" w:cs="宋体"/>
                <w:color w:val="auto"/>
                <w:szCs w:val="21"/>
              </w:rPr>
            </w:pPr>
            <w:r>
              <w:rPr>
                <w:rFonts w:hint="eastAsia" w:ascii="宋体" w:hAnsi="宋体" w:cs="宋体"/>
                <w:color w:val="auto"/>
                <w:szCs w:val="21"/>
              </w:rPr>
              <w:t>2</w:t>
            </w:r>
          </w:p>
          <w:p w14:paraId="1F2A8B05">
            <w:pPr>
              <w:spacing w:line="440" w:lineRule="exact"/>
              <w:jc w:val="center"/>
              <w:rPr>
                <w:rFonts w:ascii="宋体" w:hAnsi="宋体" w:cs="宋体"/>
                <w:color w:val="auto"/>
                <w:szCs w:val="21"/>
              </w:rPr>
            </w:pPr>
          </w:p>
        </w:tc>
        <w:tc>
          <w:tcPr>
            <w:tcW w:w="1761" w:type="dxa"/>
            <w:vMerge w:val="restart"/>
            <w:vAlign w:val="center"/>
          </w:tcPr>
          <w:p w14:paraId="5DD4087F">
            <w:pPr>
              <w:spacing w:line="440" w:lineRule="exact"/>
              <w:rPr>
                <w:rFonts w:ascii="宋体" w:hAnsi="宋体" w:cs="宋体"/>
                <w:color w:val="auto"/>
                <w:szCs w:val="21"/>
              </w:rPr>
            </w:pPr>
            <w:r>
              <w:rPr>
                <w:rFonts w:hint="eastAsia" w:ascii="宋体" w:hAnsi="宋体" w:cs="宋体"/>
                <w:color w:val="auto"/>
                <w:szCs w:val="21"/>
              </w:rPr>
              <w:t>投标人应符合的基本资格条件</w:t>
            </w:r>
          </w:p>
        </w:tc>
        <w:tc>
          <w:tcPr>
            <w:tcW w:w="3300" w:type="dxa"/>
            <w:vAlign w:val="center"/>
          </w:tcPr>
          <w:p w14:paraId="401C38B3">
            <w:pPr>
              <w:spacing w:line="440" w:lineRule="exact"/>
              <w:rPr>
                <w:rFonts w:ascii="宋体" w:hAnsi="宋体" w:cs="宋体"/>
                <w:color w:val="auto"/>
                <w:szCs w:val="21"/>
              </w:rPr>
            </w:pPr>
            <w:r>
              <w:rPr>
                <w:rFonts w:hint="eastAsia" w:ascii="宋体" w:hAnsi="宋体" w:cs="宋体"/>
                <w:color w:val="auto"/>
                <w:szCs w:val="21"/>
              </w:rPr>
              <w:t>（2）具有独立承担民事责任的能力</w:t>
            </w:r>
          </w:p>
        </w:tc>
        <w:tc>
          <w:tcPr>
            <w:tcW w:w="4307" w:type="dxa"/>
            <w:vAlign w:val="center"/>
          </w:tcPr>
          <w:p w14:paraId="30A03A75">
            <w:pPr>
              <w:spacing w:line="440" w:lineRule="exact"/>
              <w:rPr>
                <w:rFonts w:ascii="宋体" w:hAnsi="宋体" w:cs="宋体"/>
                <w:color w:val="auto"/>
                <w:szCs w:val="21"/>
              </w:rPr>
            </w:pPr>
            <w:r>
              <w:rPr>
                <w:rFonts w:hint="eastAsia" w:ascii="宋体" w:hAnsi="宋体" w:cs="宋体"/>
                <w:b/>
                <w:color w:val="auto"/>
                <w:szCs w:val="21"/>
              </w:rPr>
              <w:t>评审核验标书中的下列证书、证明材料：</w:t>
            </w:r>
          </w:p>
          <w:p w14:paraId="344CBC9B">
            <w:pPr>
              <w:spacing w:line="440" w:lineRule="exact"/>
              <w:rPr>
                <w:rFonts w:ascii="宋体" w:hAnsi="宋体" w:cs="宋体"/>
                <w:color w:val="auto"/>
                <w:szCs w:val="21"/>
              </w:rPr>
            </w:pPr>
            <w:r>
              <w:rPr>
                <w:rFonts w:hint="eastAsia" w:ascii="宋体" w:hAnsi="宋体" w:cs="宋体"/>
                <w:color w:val="auto"/>
                <w:szCs w:val="21"/>
              </w:rPr>
              <w:t>1.投标人为企业（包括合伙企业）的，应提供有效的“营业执照”；</w:t>
            </w:r>
          </w:p>
          <w:p w14:paraId="32EA05AB">
            <w:pPr>
              <w:spacing w:line="440" w:lineRule="exact"/>
              <w:rPr>
                <w:rFonts w:ascii="宋体" w:hAnsi="宋体" w:cs="宋体"/>
                <w:color w:val="auto"/>
                <w:szCs w:val="21"/>
              </w:rPr>
            </w:pPr>
            <w:r>
              <w:rPr>
                <w:rFonts w:hint="eastAsia" w:ascii="宋体" w:hAnsi="宋体" w:cs="宋体"/>
                <w:color w:val="auto"/>
                <w:szCs w:val="21"/>
              </w:rPr>
              <w:t>2.投标人为事业单位的，应提供有效的“事业单位法人证书”；</w:t>
            </w:r>
          </w:p>
          <w:p w14:paraId="085A1D13">
            <w:pPr>
              <w:spacing w:line="440" w:lineRule="exact"/>
              <w:rPr>
                <w:rFonts w:ascii="宋体" w:hAnsi="宋体" w:cs="宋体"/>
                <w:color w:val="auto"/>
                <w:szCs w:val="21"/>
              </w:rPr>
            </w:pPr>
            <w:r>
              <w:rPr>
                <w:rFonts w:hint="eastAsia" w:ascii="宋体" w:hAnsi="宋体" w:cs="宋体"/>
                <w:color w:val="auto"/>
                <w:szCs w:val="21"/>
              </w:rPr>
              <w:t>3.投标人是非企业机构的，应提供有效的“执业许可证”、“登记证书”等证明文件；</w:t>
            </w:r>
          </w:p>
          <w:p w14:paraId="5F6E09A2">
            <w:pPr>
              <w:spacing w:line="440" w:lineRule="exact"/>
              <w:rPr>
                <w:rFonts w:ascii="宋体" w:hAnsi="宋体" w:cs="宋体"/>
                <w:color w:val="auto"/>
                <w:szCs w:val="21"/>
              </w:rPr>
            </w:pPr>
            <w:r>
              <w:rPr>
                <w:rFonts w:hint="eastAsia" w:ascii="宋体" w:hAnsi="宋体" w:cs="宋体"/>
                <w:color w:val="auto"/>
                <w:szCs w:val="21"/>
              </w:rPr>
              <w:t>4.投标人是个体工商户的，应提供有效的“个体工商户营业执照”；</w:t>
            </w:r>
          </w:p>
          <w:p w14:paraId="232989BF">
            <w:pPr>
              <w:spacing w:line="440" w:lineRule="exact"/>
              <w:rPr>
                <w:rFonts w:ascii="宋体" w:hAnsi="宋体" w:cs="宋体"/>
                <w:color w:val="auto"/>
                <w:szCs w:val="21"/>
              </w:rPr>
            </w:pPr>
            <w:r>
              <w:rPr>
                <w:rFonts w:hint="eastAsia" w:ascii="宋体" w:hAnsi="宋体" w:cs="宋体"/>
                <w:color w:val="auto"/>
                <w:szCs w:val="21"/>
              </w:rPr>
              <w:t>5.投标人是自然人的，应提供有效的自然人身份证明，检验标书。</w:t>
            </w:r>
          </w:p>
        </w:tc>
      </w:tr>
      <w:tr w14:paraId="313E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85" w:type="dxa"/>
            <w:vMerge w:val="continue"/>
            <w:vAlign w:val="center"/>
          </w:tcPr>
          <w:p w14:paraId="3107C47A">
            <w:pPr>
              <w:spacing w:line="440" w:lineRule="exact"/>
              <w:jc w:val="center"/>
              <w:rPr>
                <w:rFonts w:ascii="宋体" w:hAnsi="宋体" w:cs="宋体"/>
                <w:color w:val="auto"/>
                <w:szCs w:val="21"/>
              </w:rPr>
            </w:pPr>
          </w:p>
        </w:tc>
        <w:tc>
          <w:tcPr>
            <w:tcW w:w="1761" w:type="dxa"/>
            <w:vMerge w:val="continue"/>
            <w:vAlign w:val="center"/>
          </w:tcPr>
          <w:p w14:paraId="4652C7D0">
            <w:pPr>
              <w:spacing w:line="440" w:lineRule="exact"/>
              <w:rPr>
                <w:rFonts w:ascii="宋体" w:hAnsi="宋体" w:cs="宋体"/>
                <w:color w:val="auto"/>
                <w:szCs w:val="21"/>
              </w:rPr>
            </w:pPr>
          </w:p>
        </w:tc>
        <w:tc>
          <w:tcPr>
            <w:tcW w:w="3300" w:type="dxa"/>
            <w:vAlign w:val="center"/>
          </w:tcPr>
          <w:p w14:paraId="1705610B">
            <w:pPr>
              <w:spacing w:line="440" w:lineRule="exact"/>
              <w:rPr>
                <w:rFonts w:ascii="宋体" w:hAnsi="宋体" w:cs="宋体"/>
                <w:b/>
                <w:color w:val="auto"/>
                <w:szCs w:val="21"/>
              </w:rPr>
            </w:pPr>
            <w:r>
              <w:rPr>
                <w:rFonts w:hint="eastAsia" w:ascii="宋体" w:hAnsi="宋体" w:cs="宋体"/>
                <w:color w:val="auto"/>
                <w:szCs w:val="21"/>
              </w:rPr>
              <w:t>（3）诚信投标承诺书</w:t>
            </w:r>
          </w:p>
        </w:tc>
        <w:tc>
          <w:tcPr>
            <w:tcW w:w="4307" w:type="dxa"/>
            <w:vAlign w:val="center"/>
          </w:tcPr>
          <w:p w14:paraId="2A50796B">
            <w:pPr>
              <w:spacing w:line="440" w:lineRule="exact"/>
              <w:rPr>
                <w:rFonts w:ascii="宋体" w:hAnsi="宋体" w:cs="宋体"/>
                <w:b/>
                <w:color w:val="auto"/>
                <w:szCs w:val="21"/>
              </w:rPr>
            </w:pPr>
            <w:r>
              <w:rPr>
                <w:rFonts w:hint="eastAsia"/>
                <w:color w:val="auto"/>
              </w:rPr>
              <w:t>格式见附件，</w:t>
            </w:r>
            <w:r>
              <w:rPr>
                <w:rFonts w:hint="eastAsia" w:ascii="宋体" w:hAnsi="宋体" w:cs="宋体"/>
                <w:color w:val="auto"/>
                <w:szCs w:val="21"/>
              </w:rPr>
              <w:t>检验标书。</w:t>
            </w:r>
          </w:p>
        </w:tc>
      </w:tr>
    </w:tbl>
    <w:p w14:paraId="51A1CEC1">
      <w:pPr>
        <w:spacing w:line="440" w:lineRule="exact"/>
        <w:ind w:right="-164" w:rightChars="-78" w:firstLine="422" w:firstLineChars="200"/>
        <w:jc w:val="left"/>
        <w:rPr>
          <w:rFonts w:ascii="宋体" w:hAnsi="宋体" w:cs="宋体"/>
          <w:b/>
          <w:color w:val="auto"/>
          <w:szCs w:val="21"/>
        </w:rPr>
      </w:pPr>
      <w:r>
        <w:rPr>
          <w:rFonts w:hint="eastAsia" w:ascii="宋体" w:hAnsi="宋体" w:cs="宋体"/>
          <w:b/>
          <w:color w:val="auto"/>
          <w:szCs w:val="21"/>
        </w:rPr>
        <w:t>3.2如评标专家在检验投标文件过程中，如果由于投标人自身原因导致评标专家无法查看并检验投标文件中相关资料的，否决其投标。即使投标人将原件携带至现场的，同样按否决投标处理。</w:t>
      </w:r>
    </w:p>
    <w:p w14:paraId="36254390">
      <w:pPr>
        <w:spacing w:line="440" w:lineRule="exact"/>
        <w:ind w:right="-164" w:rightChars="-78" w:firstLine="508" w:firstLineChars="241"/>
        <w:jc w:val="left"/>
        <w:rPr>
          <w:rFonts w:ascii="宋体" w:hAnsi="宋体" w:cs="宋体"/>
          <w:b/>
          <w:color w:val="auto"/>
          <w:szCs w:val="21"/>
        </w:rPr>
      </w:pPr>
      <w:r>
        <w:rPr>
          <w:rFonts w:hint="eastAsia" w:ascii="宋体" w:hAnsi="宋体" w:cs="宋体"/>
          <w:b/>
          <w:color w:val="auto"/>
          <w:szCs w:val="21"/>
        </w:rPr>
        <w:t>3.3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p>
    <w:p w14:paraId="3BE82A26">
      <w:pPr>
        <w:spacing w:line="440" w:lineRule="exact"/>
        <w:ind w:firstLine="420" w:firstLineChars="200"/>
        <w:rPr>
          <w:rFonts w:ascii="宋体" w:hAnsi="宋体" w:cs="宋体"/>
          <w:color w:val="auto"/>
          <w:szCs w:val="21"/>
        </w:rPr>
      </w:pPr>
      <w:r>
        <w:rPr>
          <w:rFonts w:hint="eastAsia" w:ascii="宋体" w:hAnsi="宋体" w:cs="宋体"/>
          <w:color w:val="auto"/>
          <w:szCs w:val="21"/>
        </w:rPr>
        <w:t>4.符合性审查</w:t>
      </w:r>
    </w:p>
    <w:p w14:paraId="348D45F8">
      <w:pPr>
        <w:spacing w:line="440" w:lineRule="exact"/>
        <w:ind w:firstLine="420" w:firstLineChars="200"/>
        <w:rPr>
          <w:rFonts w:ascii="宋体" w:hAnsi="宋体" w:cs="宋体"/>
          <w:color w:val="auto"/>
          <w:szCs w:val="21"/>
        </w:rPr>
      </w:pPr>
      <w:r>
        <w:rPr>
          <w:rFonts w:hint="eastAsia" w:ascii="宋体" w:hAnsi="宋体" w:cs="宋体"/>
          <w:color w:val="auto"/>
          <w:szCs w:val="21"/>
        </w:rPr>
        <w:t>4．1评审细则</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3436"/>
        <w:gridCol w:w="4325"/>
      </w:tblGrid>
      <w:tr w14:paraId="531B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1" w:type="dxa"/>
            <w:vAlign w:val="center"/>
          </w:tcPr>
          <w:p w14:paraId="40C91326">
            <w:pPr>
              <w:spacing w:line="440" w:lineRule="exact"/>
              <w:jc w:val="center"/>
              <w:rPr>
                <w:rFonts w:ascii="宋体" w:hAnsi="宋体" w:cs="宋体"/>
                <w:b/>
                <w:bCs/>
                <w:color w:val="auto"/>
                <w:szCs w:val="21"/>
              </w:rPr>
            </w:pPr>
            <w:r>
              <w:rPr>
                <w:rFonts w:hint="eastAsia" w:ascii="宋体" w:hAnsi="宋体" w:cs="宋体"/>
                <w:b/>
                <w:bCs/>
                <w:color w:val="auto"/>
                <w:szCs w:val="21"/>
              </w:rPr>
              <w:t>序号</w:t>
            </w:r>
          </w:p>
        </w:tc>
        <w:tc>
          <w:tcPr>
            <w:tcW w:w="4640" w:type="dxa"/>
            <w:gridSpan w:val="2"/>
            <w:vAlign w:val="center"/>
          </w:tcPr>
          <w:p w14:paraId="07FF5F67">
            <w:pPr>
              <w:spacing w:line="440" w:lineRule="exact"/>
              <w:jc w:val="center"/>
              <w:rPr>
                <w:rFonts w:ascii="宋体" w:hAnsi="宋体" w:cs="宋体"/>
                <w:b/>
                <w:bCs/>
                <w:color w:val="auto"/>
                <w:szCs w:val="21"/>
              </w:rPr>
            </w:pPr>
            <w:r>
              <w:rPr>
                <w:rFonts w:hint="eastAsia" w:ascii="宋体" w:hAnsi="宋体" w:cs="宋体"/>
                <w:b/>
                <w:bCs/>
                <w:color w:val="auto"/>
                <w:szCs w:val="21"/>
              </w:rPr>
              <w:t>审查因素</w:t>
            </w:r>
          </w:p>
        </w:tc>
        <w:tc>
          <w:tcPr>
            <w:tcW w:w="4325" w:type="dxa"/>
            <w:vAlign w:val="center"/>
          </w:tcPr>
          <w:p w14:paraId="06E2A233">
            <w:pPr>
              <w:spacing w:line="440" w:lineRule="exact"/>
              <w:jc w:val="center"/>
              <w:rPr>
                <w:rFonts w:ascii="宋体" w:hAnsi="宋体" w:cs="宋体"/>
                <w:b/>
                <w:bCs/>
                <w:color w:val="auto"/>
                <w:szCs w:val="21"/>
              </w:rPr>
            </w:pPr>
            <w:r>
              <w:rPr>
                <w:rFonts w:hint="eastAsia" w:ascii="宋体" w:hAnsi="宋体" w:cs="宋体"/>
                <w:b/>
                <w:bCs/>
                <w:color w:val="auto"/>
                <w:szCs w:val="21"/>
              </w:rPr>
              <w:t>审查内容</w:t>
            </w:r>
          </w:p>
        </w:tc>
      </w:tr>
      <w:tr w14:paraId="4A63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31" w:type="dxa"/>
            <w:vMerge w:val="restart"/>
            <w:vAlign w:val="center"/>
          </w:tcPr>
          <w:p w14:paraId="5EB40501">
            <w:pPr>
              <w:spacing w:line="440" w:lineRule="exact"/>
              <w:jc w:val="center"/>
              <w:rPr>
                <w:rFonts w:ascii="宋体" w:hAnsi="宋体" w:cs="宋体"/>
                <w:color w:val="auto"/>
                <w:szCs w:val="21"/>
              </w:rPr>
            </w:pPr>
            <w:r>
              <w:rPr>
                <w:rFonts w:hint="eastAsia" w:ascii="宋体" w:hAnsi="宋体" w:cs="宋体"/>
                <w:color w:val="auto"/>
                <w:szCs w:val="21"/>
              </w:rPr>
              <w:t>1</w:t>
            </w:r>
          </w:p>
        </w:tc>
        <w:tc>
          <w:tcPr>
            <w:tcW w:w="1204" w:type="dxa"/>
            <w:vMerge w:val="restart"/>
            <w:vAlign w:val="center"/>
          </w:tcPr>
          <w:p w14:paraId="500597FD">
            <w:pPr>
              <w:spacing w:line="440" w:lineRule="exact"/>
              <w:jc w:val="center"/>
              <w:rPr>
                <w:rFonts w:ascii="宋体" w:hAnsi="宋体" w:cs="宋体"/>
                <w:color w:val="auto"/>
                <w:szCs w:val="21"/>
                <w:lang w:val="zh-CN"/>
              </w:rPr>
            </w:pPr>
            <w:r>
              <w:rPr>
                <w:rFonts w:hint="eastAsia" w:ascii="宋体" w:hAnsi="宋体" w:cs="宋体"/>
                <w:color w:val="auto"/>
                <w:szCs w:val="21"/>
                <w:lang w:val="zh-CN"/>
              </w:rPr>
              <w:t>投标文件的有效性</w:t>
            </w:r>
          </w:p>
        </w:tc>
        <w:tc>
          <w:tcPr>
            <w:tcW w:w="3436" w:type="dxa"/>
            <w:vAlign w:val="center"/>
          </w:tcPr>
          <w:p w14:paraId="54545666">
            <w:pPr>
              <w:spacing w:line="440" w:lineRule="exact"/>
              <w:rPr>
                <w:rFonts w:ascii="宋体" w:hAnsi="宋体" w:cs="宋体"/>
                <w:color w:val="auto"/>
                <w:szCs w:val="21"/>
                <w:lang w:val="zh-CN"/>
              </w:rPr>
            </w:pPr>
            <w:r>
              <w:rPr>
                <w:rFonts w:hint="eastAsia" w:ascii="宋体" w:hAnsi="宋体" w:cs="宋体"/>
                <w:color w:val="auto"/>
                <w:szCs w:val="21"/>
                <w:lang w:val="zh-CN"/>
              </w:rPr>
              <w:t>（1）投标文件签署</w:t>
            </w:r>
          </w:p>
        </w:tc>
        <w:tc>
          <w:tcPr>
            <w:tcW w:w="4325" w:type="dxa"/>
            <w:vAlign w:val="center"/>
          </w:tcPr>
          <w:p w14:paraId="363C5423">
            <w:pPr>
              <w:spacing w:line="440" w:lineRule="exact"/>
              <w:rPr>
                <w:rFonts w:ascii="宋体" w:hAnsi="宋体" w:cs="宋体"/>
                <w:color w:val="auto"/>
                <w:szCs w:val="21"/>
                <w:lang w:val="zh-CN"/>
              </w:rPr>
            </w:pPr>
            <w:r>
              <w:rPr>
                <w:rFonts w:hint="eastAsia" w:ascii="宋体" w:hAnsi="宋体" w:cs="宋体"/>
                <w:color w:val="auto"/>
                <w:szCs w:val="21"/>
                <w:lang w:val="zh-CN"/>
              </w:rPr>
              <w:t>签字、盖章符合要求。</w:t>
            </w:r>
          </w:p>
        </w:tc>
      </w:tr>
      <w:tr w14:paraId="2471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31" w:type="dxa"/>
            <w:vMerge w:val="continue"/>
            <w:vAlign w:val="center"/>
          </w:tcPr>
          <w:p w14:paraId="2C4391B2">
            <w:pPr>
              <w:spacing w:line="440" w:lineRule="exact"/>
              <w:rPr>
                <w:rFonts w:ascii="宋体" w:hAnsi="宋体" w:cs="宋体"/>
                <w:color w:val="auto"/>
                <w:szCs w:val="21"/>
              </w:rPr>
            </w:pPr>
          </w:p>
        </w:tc>
        <w:tc>
          <w:tcPr>
            <w:tcW w:w="1204" w:type="dxa"/>
            <w:vMerge w:val="continue"/>
            <w:vAlign w:val="center"/>
          </w:tcPr>
          <w:p w14:paraId="5ED798ED">
            <w:pPr>
              <w:spacing w:line="440" w:lineRule="exact"/>
              <w:rPr>
                <w:rFonts w:ascii="宋体" w:hAnsi="宋体" w:cs="宋体"/>
                <w:color w:val="auto"/>
                <w:szCs w:val="21"/>
              </w:rPr>
            </w:pPr>
          </w:p>
        </w:tc>
        <w:tc>
          <w:tcPr>
            <w:tcW w:w="3436" w:type="dxa"/>
            <w:vAlign w:val="center"/>
          </w:tcPr>
          <w:p w14:paraId="32122CD3">
            <w:pPr>
              <w:spacing w:line="440" w:lineRule="exact"/>
              <w:rPr>
                <w:rFonts w:ascii="宋体" w:hAnsi="宋体" w:cs="宋体"/>
                <w:color w:val="auto"/>
                <w:szCs w:val="21"/>
                <w:lang w:val="zh-CN"/>
              </w:rPr>
            </w:pPr>
            <w:r>
              <w:rPr>
                <w:rFonts w:hint="eastAsia" w:ascii="宋体" w:hAnsi="宋体" w:cs="宋体"/>
                <w:color w:val="auto"/>
                <w:szCs w:val="21"/>
                <w:lang w:val="zh-CN"/>
              </w:rPr>
              <w:t>（2）投标方案</w:t>
            </w:r>
          </w:p>
        </w:tc>
        <w:tc>
          <w:tcPr>
            <w:tcW w:w="4325" w:type="dxa"/>
            <w:vAlign w:val="center"/>
          </w:tcPr>
          <w:p w14:paraId="033F217E">
            <w:pPr>
              <w:spacing w:line="440" w:lineRule="exact"/>
              <w:rPr>
                <w:rFonts w:ascii="宋体" w:hAnsi="宋体" w:cs="宋体"/>
                <w:color w:val="auto"/>
                <w:szCs w:val="21"/>
              </w:rPr>
            </w:pPr>
            <w:r>
              <w:rPr>
                <w:rFonts w:hint="eastAsia" w:ascii="宋体" w:hAnsi="宋体" w:cs="宋体"/>
                <w:color w:val="auto"/>
                <w:szCs w:val="21"/>
                <w:lang w:val="zh-CN"/>
              </w:rPr>
              <w:t>每个分包只能有一个方案投标。</w:t>
            </w:r>
          </w:p>
        </w:tc>
      </w:tr>
      <w:tr w14:paraId="5921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731" w:type="dxa"/>
            <w:vMerge w:val="continue"/>
            <w:vAlign w:val="center"/>
          </w:tcPr>
          <w:p w14:paraId="73641183">
            <w:pPr>
              <w:spacing w:line="440" w:lineRule="exact"/>
              <w:rPr>
                <w:rFonts w:ascii="宋体" w:hAnsi="宋体" w:cs="宋体"/>
                <w:color w:val="auto"/>
                <w:szCs w:val="21"/>
              </w:rPr>
            </w:pPr>
          </w:p>
        </w:tc>
        <w:tc>
          <w:tcPr>
            <w:tcW w:w="1204" w:type="dxa"/>
            <w:vMerge w:val="continue"/>
            <w:vAlign w:val="center"/>
          </w:tcPr>
          <w:p w14:paraId="24F6BA3E">
            <w:pPr>
              <w:spacing w:line="440" w:lineRule="exact"/>
              <w:rPr>
                <w:rFonts w:ascii="宋体" w:hAnsi="宋体" w:cs="宋体"/>
                <w:color w:val="auto"/>
                <w:szCs w:val="21"/>
              </w:rPr>
            </w:pPr>
          </w:p>
        </w:tc>
        <w:tc>
          <w:tcPr>
            <w:tcW w:w="3436" w:type="dxa"/>
            <w:vAlign w:val="center"/>
          </w:tcPr>
          <w:p w14:paraId="03170D0D">
            <w:pPr>
              <w:spacing w:line="440" w:lineRule="exact"/>
              <w:rPr>
                <w:rFonts w:ascii="宋体" w:hAnsi="宋体" w:cs="宋体"/>
                <w:color w:val="auto"/>
                <w:szCs w:val="21"/>
                <w:lang w:val="zh-CN"/>
              </w:rPr>
            </w:pPr>
            <w:r>
              <w:rPr>
                <w:rFonts w:hint="eastAsia" w:ascii="宋体" w:hAnsi="宋体" w:cs="宋体"/>
                <w:color w:val="auto"/>
                <w:szCs w:val="21"/>
              </w:rPr>
              <w:t>（3）报价唯一</w:t>
            </w:r>
          </w:p>
        </w:tc>
        <w:tc>
          <w:tcPr>
            <w:tcW w:w="4325" w:type="dxa"/>
            <w:vAlign w:val="center"/>
          </w:tcPr>
          <w:p w14:paraId="0BE6E289">
            <w:pPr>
              <w:spacing w:line="440" w:lineRule="exact"/>
              <w:rPr>
                <w:rFonts w:ascii="宋体" w:hAnsi="宋体" w:cs="宋体"/>
                <w:color w:val="auto"/>
                <w:szCs w:val="21"/>
              </w:rPr>
            </w:pPr>
            <w:r>
              <w:rPr>
                <w:rFonts w:hint="eastAsia" w:ascii="宋体" w:hAnsi="宋体" w:cs="宋体"/>
                <w:color w:val="auto"/>
                <w:szCs w:val="21"/>
                <w:lang w:val="zh-CN"/>
              </w:rPr>
              <w:t>只能在限价范围内报价，</w:t>
            </w:r>
            <w:r>
              <w:rPr>
                <w:rFonts w:hint="eastAsia" w:ascii="宋体" w:hAnsi="宋体" w:cs="宋体"/>
                <w:color w:val="auto"/>
                <w:szCs w:val="21"/>
              </w:rPr>
              <w:t>只能有一个有效报价，不得提交选择性报价。</w:t>
            </w:r>
          </w:p>
        </w:tc>
      </w:tr>
      <w:tr w14:paraId="782A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31" w:type="dxa"/>
            <w:vMerge w:val="continue"/>
            <w:vAlign w:val="center"/>
          </w:tcPr>
          <w:p w14:paraId="6D584285">
            <w:pPr>
              <w:spacing w:line="440" w:lineRule="exact"/>
              <w:rPr>
                <w:rFonts w:ascii="宋体" w:hAnsi="宋体" w:cs="宋体"/>
                <w:color w:val="auto"/>
                <w:szCs w:val="21"/>
              </w:rPr>
            </w:pPr>
          </w:p>
        </w:tc>
        <w:tc>
          <w:tcPr>
            <w:tcW w:w="1204" w:type="dxa"/>
            <w:vMerge w:val="continue"/>
            <w:vAlign w:val="center"/>
          </w:tcPr>
          <w:p w14:paraId="2D4CFF8C">
            <w:pPr>
              <w:spacing w:line="440" w:lineRule="exact"/>
              <w:rPr>
                <w:rFonts w:ascii="宋体" w:hAnsi="宋体" w:cs="宋体"/>
                <w:color w:val="auto"/>
                <w:szCs w:val="21"/>
              </w:rPr>
            </w:pPr>
          </w:p>
        </w:tc>
        <w:tc>
          <w:tcPr>
            <w:tcW w:w="3436" w:type="dxa"/>
            <w:vAlign w:val="center"/>
          </w:tcPr>
          <w:p w14:paraId="3E6A0574">
            <w:pPr>
              <w:spacing w:line="440" w:lineRule="exact"/>
              <w:rPr>
                <w:rFonts w:ascii="宋体" w:hAnsi="宋体" w:cs="宋体"/>
                <w:color w:val="auto"/>
                <w:szCs w:val="21"/>
              </w:rPr>
            </w:pPr>
            <w:r>
              <w:rPr>
                <w:rFonts w:hint="eastAsia" w:ascii="宋体" w:hAnsi="宋体" w:cs="宋体"/>
                <w:color w:val="auto"/>
                <w:szCs w:val="21"/>
              </w:rPr>
              <w:t xml:space="preserve"> (4) 投标文件的有效期</w:t>
            </w:r>
          </w:p>
        </w:tc>
        <w:tc>
          <w:tcPr>
            <w:tcW w:w="4325" w:type="dxa"/>
            <w:vAlign w:val="center"/>
          </w:tcPr>
          <w:p w14:paraId="0BAD1700">
            <w:pPr>
              <w:spacing w:line="440" w:lineRule="exact"/>
              <w:rPr>
                <w:rFonts w:ascii="宋体" w:hAnsi="宋体" w:cs="宋体"/>
                <w:color w:val="auto"/>
                <w:szCs w:val="21"/>
                <w:lang w:val="zh-CN"/>
              </w:rPr>
            </w:pPr>
            <w:r>
              <w:rPr>
                <w:rFonts w:hint="eastAsia" w:ascii="宋体" w:hAnsi="宋体" w:cs="宋体"/>
                <w:color w:val="auto"/>
                <w:szCs w:val="21"/>
                <w:lang w:val="zh-CN"/>
              </w:rPr>
              <w:t>完全响应。</w:t>
            </w:r>
          </w:p>
        </w:tc>
      </w:tr>
      <w:tr w14:paraId="0C98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31" w:type="dxa"/>
            <w:vMerge w:val="restart"/>
            <w:vAlign w:val="center"/>
          </w:tcPr>
          <w:p w14:paraId="723B7CBD">
            <w:pPr>
              <w:spacing w:line="440" w:lineRule="exact"/>
              <w:jc w:val="center"/>
              <w:rPr>
                <w:rFonts w:ascii="宋体" w:hAnsi="宋体" w:cs="宋体"/>
                <w:color w:val="auto"/>
                <w:szCs w:val="21"/>
              </w:rPr>
            </w:pPr>
            <w:r>
              <w:rPr>
                <w:rFonts w:hint="eastAsia" w:ascii="宋体" w:hAnsi="宋体" w:cs="宋体"/>
                <w:color w:val="auto"/>
                <w:szCs w:val="21"/>
              </w:rPr>
              <w:t>2</w:t>
            </w:r>
          </w:p>
        </w:tc>
        <w:tc>
          <w:tcPr>
            <w:tcW w:w="1204" w:type="dxa"/>
            <w:vMerge w:val="restart"/>
            <w:vAlign w:val="center"/>
          </w:tcPr>
          <w:p w14:paraId="43A1F6F8">
            <w:pPr>
              <w:spacing w:line="440" w:lineRule="exact"/>
              <w:jc w:val="center"/>
              <w:rPr>
                <w:rFonts w:ascii="宋体" w:hAnsi="宋体" w:cs="宋体"/>
                <w:color w:val="auto"/>
                <w:szCs w:val="21"/>
                <w:lang w:val="zh-CN"/>
              </w:rPr>
            </w:pPr>
            <w:r>
              <w:rPr>
                <w:rFonts w:hint="eastAsia" w:ascii="宋体" w:hAnsi="宋体" w:cs="宋体"/>
                <w:color w:val="auto"/>
                <w:szCs w:val="21"/>
                <w:lang w:val="zh-CN"/>
              </w:rPr>
              <w:t>投标文件的完整性</w:t>
            </w:r>
          </w:p>
        </w:tc>
        <w:tc>
          <w:tcPr>
            <w:tcW w:w="3436" w:type="dxa"/>
            <w:vAlign w:val="center"/>
          </w:tcPr>
          <w:p w14:paraId="3510A2A2">
            <w:pPr>
              <w:spacing w:line="440" w:lineRule="exact"/>
              <w:rPr>
                <w:rFonts w:ascii="宋体" w:hAnsi="宋体" w:cs="宋体"/>
                <w:color w:val="auto"/>
                <w:szCs w:val="21"/>
              </w:rPr>
            </w:pPr>
            <w:r>
              <w:rPr>
                <w:rFonts w:hint="eastAsia" w:ascii="宋体" w:hAnsi="宋体" w:cs="宋体"/>
                <w:color w:val="auto"/>
                <w:szCs w:val="21"/>
                <w:lang w:val="zh-CN"/>
              </w:rPr>
              <w:t>（5）投标文件份数</w:t>
            </w:r>
          </w:p>
        </w:tc>
        <w:tc>
          <w:tcPr>
            <w:tcW w:w="4325" w:type="dxa"/>
            <w:vAlign w:val="center"/>
          </w:tcPr>
          <w:p w14:paraId="03EA312E">
            <w:pPr>
              <w:spacing w:line="440" w:lineRule="exact"/>
              <w:rPr>
                <w:rFonts w:ascii="宋体" w:hAnsi="宋体" w:cs="宋体"/>
                <w:color w:val="auto"/>
                <w:szCs w:val="21"/>
              </w:rPr>
            </w:pPr>
            <w:r>
              <w:rPr>
                <w:rFonts w:hint="eastAsia" w:ascii="宋体" w:hAnsi="宋体" w:cs="宋体"/>
                <w:color w:val="auto"/>
                <w:szCs w:val="21"/>
              </w:rPr>
              <w:t xml:space="preserve">递交的投标文件：一份。 </w:t>
            </w:r>
          </w:p>
        </w:tc>
      </w:tr>
      <w:tr w14:paraId="14CA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31" w:type="dxa"/>
            <w:vMerge w:val="continue"/>
            <w:vAlign w:val="center"/>
          </w:tcPr>
          <w:p w14:paraId="5F5D4DC5">
            <w:pPr>
              <w:spacing w:line="440" w:lineRule="exact"/>
              <w:rPr>
                <w:rFonts w:ascii="宋体" w:hAnsi="宋体" w:cs="宋体"/>
                <w:color w:val="auto"/>
                <w:szCs w:val="21"/>
              </w:rPr>
            </w:pPr>
          </w:p>
        </w:tc>
        <w:tc>
          <w:tcPr>
            <w:tcW w:w="1204" w:type="dxa"/>
            <w:vMerge w:val="continue"/>
            <w:vAlign w:val="center"/>
          </w:tcPr>
          <w:p w14:paraId="5D497470">
            <w:pPr>
              <w:spacing w:line="440" w:lineRule="exact"/>
              <w:rPr>
                <w:rFonts w:ascii="宋体" w:hAnsi="宋体" w:cs="宋体"/>
                <w:color w:val="auto"/>
                <w:szCs w:val="21"/>
              </w:rPr>
            </w:pPr>
          </w:p>
        </w:tc>
        <w:tc>
          <w:tcPr>
            <w:tcW w:w="3436" w:type="dxa"/>
            <w:vAlign w:val="center"/>
          </w:tcPr>
          <w:p w14:paraId="37256916">
            <w:pPr>
              <w:spacing w:line="440" w:lineRule="exact"/>
              <w:rPr>
                <w:rFonts w:ascii="宋体" w:hAnsi="宋体" w:cs="宋体"/>
                <w:color w:val="auto"/>
                <w:szCs w:val="21"/>
                <w:lang w:val="zh-CN"/>
              </w:rPr>
            </w:pPr>
            <w:r>
              <w:rPr>
                <w:rFonts w:hint="eastAsia" w:ascii="宋体" w:hAnsi="宋体" w:cs="宋体"/>
                <w:color w:val="auto"/>
                <w:szCs w:val="21"/>
                <w:lang w:val="zh-CN"/>
              </w:rPr>
              <w:t>（6）投标文件形式内容</w:t>
            </w:r>
          </w:p>
        </w:tc>
        <w:tc>
          <w:tcPr>
            <w:tcW w:w="4325" w:type="dxa"/>
            <w:vAlign w:val="center"/>
          </w:tcPr>
          <w:p w14:paraId="4827C50C">
            <w:pPr>
              <w:spacing w:line="440" w:lineRule="exact"/>
              <w:rPr>
                <w:rFonts w:ascii="宋体" w:hAnsi="宋体" w:cs="宋体"/>
                <w:color w:val="auto"/>
                <w:szCs w:val="21"/>
                <w:lang w:val="zh-CN"/>
              </w:rPr>
            </w:pPr>
            <w:r>
              <w:rPr>
                <w:rFonts w:hint="eastAsia" w:ascii="宋体" w:hAnsi="宋体" w:cs="宋体"/>
                <w:color w:val="auto"/>
                <w:szCs w:val="21"/>
                <w:lang w:val="zh-CN"/>
              </w:rPr>
              <w:t>投标文件内容清晰、齐全无遗漏。</w:t>
            </w:r>
          </w:p>
        </w:tc>
      </w:tr>
      <w:tr w14:paraId="6925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31" w:type="dxa"/>
            <w:vMerge w:val="restart"/>
            <w:vAlign w:val="center"/>
          </w:tcPr>
          <w:p w14:paraId="1A9D35A9">
            <w:pPr>
              <w:spacing w:line="440" w:lineRule="exact"/>
              <w:jc w:val="center"/>
              <w:rPr>
                <w:rFonts w:ascii="宋体" w:hAnsi="宋体" w:cs="宋体"/>
                <w:color w:val="auto"/>
                <w:szCs w:val="21"/>
              </w:rPr>
            </w:pPr>
            <w:r>
              <w:rPr>
                <w:rFonts w:hint="eastAsia" w:ascii="宋体" w:hAnsi="宋体" w:cs="宋体"/>
                <w:color w:val="auto"/>
                <w:szCs w:val="21"/>
              </w:rPr>
              <w:t>3</w:t>
            </w:r>
          </w:p>
        </w:tc>
        <w:tc>
          <w:tcPr>
            <w:tcW w:w="1204" w:type="dxa"/>
            <w:vMerge w:val="restart"/>
            <w:vAlign w:val="center"/>
          </w:tcPr>
          <w:p w14:paraId="73A6CEB0">
            <w:pPr>
              <w:spacing w:line="440" w:lineRule="exact"/>
              <w:jc w:val="center"/>
              <w:rPr>
                <w:rFonts w:ascii="宋体" w:hAnsi="宋体" w:cs="宋体"/>
                <w:color w:val="auto"/>
                <w:szCs w:val="21"/>
                <w:lang w:val="zh-CN"/>
              </w:rPr>
            </w:pPr>
            <w:r>
              <w:rPr>
                <w:rFonts w:hint="eastAsia" w:ascii="宋体" w:hAnsi="宋体" w:cs="宋体"/>
                <w:color w:val="auto"/>
                <w:szCs w:val="21"/>
                <w:lang w:val="zh-CN"/>
              </w:rPr>
              <w:t>投标文件的响应程度</w:t>
            </w:r>
          </w:p>
        </w:tc>
        <w:tc>
          <w:tcPr>
            <w:tcW w:w="3436" w:type="dxa"/>
            <w:vAlign w:val="center"/>
          </w:tcPr>
          <w:p w14:paraId="256C62D7">
            <w:pPr>
              <w:spacing w:line="440" w:lineRule="exact"/>
              <w:rPr>
                <w:rFonts w:ascii="宋体" w:hAnsi="宋体" w:cs="宋体"/>
                <w:color w:val="auto"/>
                <w:szCs w:val="21"/>
                <w:lang w:val="zh-CN"/>
              </w:rPr>
            </w:pPr>
            <w:r>
              <w:rPr>
                <w:rFonts w:hint="eastAsia" w:ascii="宋体" w:hAnsi="宋体" w:cs="宋体"/>
                <w:color w:val="auto"/>
                <w:szCs w:val="21"/>
                <w:lang w:val="zh-CN"/>
              </w:rPr>
              <w:t>（7）技术服务需求响应程度</w:t>
            </w:r>
          </w:p>
        </w:tc>
        <w:tc>
          <w:tcPr>
            <w:tcW w:w="4325" w:type="dxa"/>
            <w:vAlign w:val="center"/>
          </w:tcPr>
          <w:p w14:paraId="19E726D7">
            <w:pPr>
              <w:spacing w:line="440" w:lineRule="exact"/>
              <w:rPr>
                <w:rFonts w:ascii="宋体" w:hAnsi="宋体" w:cs="宋体"/>
                <w:color w:val="auto"/>
                <w:szCs w:val="21"/>
                <w:lang w:val="zh-CN"/>
              </w:rPr>
            </w:pPr>
            <w:r>
              <w:rPr>
                <w:rFonts w:hint="eastAsia" w:ascii="宋体" w:hAnsi="宋体" w:cs="宋体"/>
                <w:color w:val="auto"/>
                <w:szCs w:val="21"/>
                <w:lang w:val="zh-CN"/>
              </w:rPr>
              <w:t>最大限度地满足招标文件要求（除必须满足项外）。</w:t>
            </w:r>
          </w:p>
        </w:tc>
      </w:tr>
      <w:tr w14:paraId="2CBD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31" w:type="dxa"/>
            <w:vMerge w:val="continue"/>
            <w:vAlign w:val="center"/>
          </w:tcPr>
          <w:p w14:paraId="52F53831">
            <w:pPr>
              <w:spacing w:line="440" w:lineRule="exact"/>
              <w:rPr>
                <w:rFonts w:ascii="宋体" w:hAnsi="宋体" w:cs="宋体"/>
                <w:color w:val="auto"/>
                <w:szCs w:val="21"/>
              </w:rPr>
            </w:pPr>
          </w:p>
        </w:tc>
        <w:tc>
          <w:tcPr>
            <w:tcW w:w="1204" w:type="dxa"/>
            <w:vMerge w:val="continue"/>
            <w:vAlign w:val="center"/>
          </w:tcPr>
          <w:p w14:paraId="68133ADD">
            <w:pPr>
              <w:spacing w:line="440" w:lineRule="exact"/>
              <w:rPr>
                <w:rFonts w:ascii="宋体" w:hAnsi="宋体" w:cs="宋体"/>
                <w:color w:val="auto"/>
                <w:szCs w:val="21"/>
              </w:rPr>
            </w:pPr>
          </w:p>
        </w:tc>
        <w:tc>
          <w:tcPr>
            <w:tcW w:w="3436" w:type="dxa"/>
            <w:vAlign w:val="center"/>
          </w:tcPr>
          <w:p w14:paraId="31FDE4AF">
            <w:pPr>
              <w:spacing w:line="440" w:lineRule="exact"/>
              <w:rPr>
                <w:rFonts w:ascii="宋体" w:hAnsi="宋体" w:cs="宋体"/>
                <w:color w:val="auto"/>
                <w:szCs w:val="21"/>
                <w:lang w:val="zh-CN"/>
              </w:rPr>
            </w:pPr>
            <w:r>
              <w:rPr>
                <w:rFonts w:hint="eastAsia" w:ascii="宋体" w:hAnsi="宋体" w:cs="宋体"/>
                <w:color w:val="auto"/>
                <w:szCs w:val="21"/>
                <w:lang w:val="zh-CN"/>
              </w:rPr>
              <w:t>（8）商务条款响应程度（包括不限于业绩、供货期、售后服务、技术培训等）</w:t>
            </w:r>
          </w:p>
        </w:tc>
        <w:tc>
          <w:tcPr>
            <w:tcW w:w="4325" w:type="dxa"/>
            <w:vAlign w:val="center"/>
          </w:tcPr>
          <w:p w14:paraId="25A2ECC4">
            <w:pPr>
              <w:spacing w:line="440" w:lineRule="exact"/>
              <w:rPr>
                <w:rFonts w:ascii="宋体" w:hAnsi="宋体" w:cs="宋体"/>
                <w:color w:val="auto"/>
                <w:szCs w:val="21"/>
                <w:lang w:val="zh-CN"/>
              </w:rPr>
            </w:pPr>
            <w:r>
              <w:rPr>
                <w:rFonts w:hint="eastAsia" w:ascii="宋体" w:hAnsi="宋体" w:cs="宋体"/>
                <w:color w:val="auto"/>
                <w:szCs w:val="21"/>
                <w:lang w:val="zh-CN"/>
              </w:rPr>
              <w:t>响应招标文件要求。</w:t>
            </w:r>
          </w:p>
        </w:tc>
      </w:tr>
    </w:tbl>
    <w:p w14:paraId="090D42A8">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4.2资格审查及评分细则中涉及的有关证明材料及相关证书，投标文件中须按招标文件要求上传</w:t>
      </w:r>
      <w:r>
        <w:rPr>
          <w:rFonts w:hint="eastAsia" w:ascii="宋体" w:hAnsi="宋体" w:cs="宋体"/>
          <w:b/>
          <w:color w:val="auto"/>
          <w:szCs w:val="21"/>
        </w:rPr>
        <w:t>扫描件</w:t>
      </w:r>
      <w:r>
        <w:rPr>
          <w:rFonts w:hint="eastAsia" w:ascii="宋体" w:hAnsi="宋体" w:cs="宋体"/>
          <w:color w:val="auto"/>
          <w:szCs w:val="21"/>
        </w:rPr>
        <w:t>，以供审查。</w:t>
      </w:r>
    </w:p>
    <w:p w14:paraId="20A5D93D">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4.3评标委员会判定投标文件的响应性只根据投标文件本身的内容，而不寻求外部的证据，但投标有不真实不正确的内容时除外。</w:t>
      </w:r>
    </w:p>
    <w:p w14:paraId="1D0E7994">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4.4如果投标文件实质上没有响应招标文件的要求，评标委员会将予以拒绝，投标人不得通过修正或撤销不符合要求的偏离或保留，而使其投标成为实质上响应的投标。</w:t>
      </w:r>
    </w:p>
    <w:p w14:paraId="783DE802">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4.5投标人可在现场20分钟内对评标委员会的评审结论提出质疑，评标委员会根据招标文件及有关规定对投标人的质疑进行复议。</w:t>
      </w:r>
    </w:p>
    <w:p w14:paraId="3507B52B">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4.6只有通过初审的投标人才能进入下一步程序。</w:t>
      </w:r>
    </w:p>
    <w:p w14:paraId="321C8ACF">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温馨提示：</w:t>
      </w:r>
    </w:p>
    <w:p w14:paraId="69ED3FAC">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1.投标文件资格审查资料请精心准备,如评标专家在检验投标文件过程中，如果由于投标人自身原因导致评标专家无法查看并检验投标文件中以上相关资料的，按无效投标处理。即使投标人将原件携带至现场的，同样按无效投标处理。</w:t>
      </w:r>
      <w:bookmarkStart w:id="82" w:name="_Toc35549720"/>
      <w:bookmarkStart w:id="83" w:name="_Toc11146"/>
      <w:bookmarkStart w:id="84" w:name="_Toc19130"/>
      <w:bookmarkStart w:id="85" w:name="_Toc9076"/>
      <w:bookmarkStart w:id="86" w:name="_Toc35549366"/>
    </w:p>
    <w:p w14:paraId="4F78E01A">
      <w:pPr>
        <w:spacing w:line="440" w:lineRule="exact"/>
        <w:jc w:val="center"/>
        <w:rPr>
          <w:rFonts w:ascii="黑体" w:eastAsia="黑体"/>
          <w:color w:val="auto"/>
          <w:sz w:val="28"/>
          <w:szCs w:val="28"/>
        </w:rPr>
      </w:pPr>
      <w:r>
        <w:rPr>
          <w:rFonts w:hint="eastAsia" w:ascii="黑体" w:eastAsia="黑体"/>
          <w:color w:val="auto"/>
          <w:sz w:val="28"/>
          <w:szCs w:val="28"/>
        </w:rPr>
        <w:t>三  投标文件的澄清和补正</w:t>
      </w:r>
      <w:bookmarkEnd w:id="82"/>
      <w:bookmarkEnd w:id="83"/>
      <w:bookmarkEnd w:id="84"/>
      <w:bookmarkEnd w:id="85"/>
      <w:bookmarkEnd w:id="86"/>
    </w:p>
    <w:p w14:paraId="31CD8D87">
      <w:pPr>
        <w:spacing w:line="440" w:lineRule="exact"/>
        <w:ind w:right="36" w:rightChars="17" w:firstLine="420" w:firstLineChars="200"/>
        <w:jc w:val="left"/>
        <w:rPr>
          <w:rFonts w:ascii="宋体" w:hAnsi="宋体" w:cs="宋体"/>
          <w:color w:val="auto"/>
          <w:szCs w:val="21"/>
        </w:rPr>
      </w:pPr>
      <w:bookmarkStart w:id="87" w:name="_Toc17766"/>
      <w:bookmarkStart w:id="88" w:name="_Toc1627"/>
      <w:bookmarkStart w:id="89" w:name="_Toc35549721"/>
      <w:bookmarkStart w:id="90" w:name="_Toc19824"/>
      <w:bookmarkStart w:id="91" w:name="_Toc35549367"/>
      <w:r>
        <w:rPr>
          <w:rFonts w:hint="eastAsia" w:ascii="宋体" w:hAnsi="宋体" w:cs="宋体"/>
          <w:color w:val="auto"/>
          <w:szCs w:val="21"/>
        </w:rPr>
        <w:t>5.1评</w:t>
      </w:r>
      <w:r>
        <w:rPr>
          <w:rFonts w:hint="eastAsia" w:ascii="宋体"/>
          <w:color w:val="auto"/>
          <w:szCs w:val="21"/>
        </w:rPr>
        <w:t>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rPr>
        <w:t>如因投标人未参加开标导致开评标过程中无法澄清、说明或补正的，视同投标人放弃该权利。</w:t>
      </w:r>
    </w:p>
    <w:p w14:paraId="6068D506">
      <w:pPr>
        <w:spacing w:line="440" w:lineRule="exact"/>
        <w:ind w:right="36" w:rightChars="17" w:firstLine="525" w:firstLineChars="250"/>
        <w:jc w:val="left"/>
        <w:rPr>
          <w:rFonts w:ascii="宋体" w:hAnsi="宋体" w:cs="宋体"/>
          <w:color w:val="auto"/>
          <w:szCs w:val="21"/>
        </w:rPr>
      </w:pPr>
      <w:r>
        <w:rPr>
          <w:rFonts w:hint="eastAsia" w:ascii="宋体" w:hAnsi="宋体" w:cs="宋体"/>
          <w:color w:val="auto"/>
          <w:szCs w:val="21"/>
        </w:rPr>
        <w:t>5.2投标人的澄清、说明或者补正应当在开标现场当场进行，但不得超出投标书的范围或者改变投标书的实质性内容。</w:t>
      </w:r>
    </w:p>
    <w:p w14:paraId="0976B7AD">
      <w:pPr>
        <w:spacing w:line="440" w:lineRule="exact"/>
        <w:ind w:firstLine="525" w:firstLineChars="250"/>
        <w:rPr>
          <w:rFonts w:ascii="宋体"/>
          <w:color w:val="auto"/>
          <w:szCs w:val="21"/>
        </w:rPr>
      </w:pPr>
      <w:r>
        <w:rPr>
          <w:rFonts w:hint="eastAsia" w:ascii="宋体" w:hAnsi="宋体" w:cs="宋体"/>
          <w:color w:val="auto"/>
          <w:szCs w:val="21"/>
        </w:rPr>
        <w:t>5</w:t>
      </w:r>
      <w:r>
        <w:rPr>
          <w:rFonts w:hint="eastAsia" w:ascii="宋体"/>
          <w:color w:val="auto"/>
          <w:szCs w:val="21"/>
        </w:rPr>
        <w:t>.3评委会修正错误的原则：</w:t>
      </w:r>
    </w:p>
    <w:p w14:paraId="358DA34D">
      <w:pPr>
        <w:spacing w:line="440" w:lineRule="exact"/>
        <w:ind w:firstLine="525" w:firstLineChars="250"/>
        <w:rPr>
          <w:rFonts w:ascii="宋体"/>
          <w:color w:val="auto"/>
          <w:szCs w:val="21"/>
        </w:rPr>
      </w:pPr>
      <w:r>
        <w:rPr>
          <w:rFonts w:hint="eastAsia" w:ascii="宋体"/>
          <w:color w:val="auto"/>
          <w:szCs w:val="21"/>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45E384D4">
      <w:pPr>
        <w:spacing w:line="440" w:lineRule="exact"/>
        <w:ind w:firstLine="525" w:firstLineChars="250"/>
        <w:rPr>
          <w:rFonts w:ascii="宋体"/>
          <w:color w:val="auto"/>
          <w:szCs w:val="21"/>
        </w:rPr>
      </w:pPr>
      <w:r>
        <w:rPr>
          <w:rFonts w:hint="eastAsia" w:ascii="宋体"/>
          <w:color w:val="auto"/>
          <w:szCs w:val="21"/>
        </w:rPr>
        <w:t>5.3.2如果单价与数量的乘积和总价不一致，以单价为准，修正总价及开标一览表；当单价小数点有明显的错位时，评委会将以总价为准，并修正其单价。</w:t>
      </w:r>
    </w:p>
    <w:p w14:paraId="2A64AAB7">
      <w:pPr>
        <w:spacing w:line="440" w:lineRule="exact"/>
        <w:ind w:right="36" w:rightChars="17" w:firstLine="403" w:firstLineChars="192"/>
        <w:jc w:val="left"/>
        <w:rPr>
          <w:rFonts w:ascii="宋体"/>
          <w:color w:val="auto"/>
          <w:szCs w:val="21"/>
        </w:rPr>
      </w:pPr>
      <w:r>
        <w:rPr>
          <w:rFonts w:hint="eastAsia" w:ascii="宋体"/>
          <w:color w:val="auto"/>
          <w:szCs w:val="21"/>
        </w:rPr>
        <w:t xml:space="preserve"> 5.4评委会将按上述修正错误的方法调整投标文件中的投标报价，调整后的价格应对投标人具有约束力。无论投标人是接受或是拒绝调整后的价格，都应当由投标人在系统中确认。</w:t>
      </w:r>
      <w:r>
        <w:rPr>
          <w:rFonts w:hint="eastAsia" w:ascii="宋体"/>
          <w:b/>
          <w:bCs/>
          <w:color w:val="auto"/>
          <w:szCs w:val="21"/>
        </w:rPr>
        <w:t>投标人拒绝对投标文件出现的错漏按上述原则进行修正、澄清、说明，评标委员会应当否决其投标</w:t>
      </w:r>
      <w:r>
        <w:rPr>
          <w:rFonts w:hint="eastAsia" w:ascii="宋体" w:hAnsi="宋体" w:cs="宋体"/>
          <w:color w:val="auto"/>
          <w:szCs w:val="21"/>
        </w:rPr>
        <w:t>。</w:t>
      </w:r>
    </w:p>
    <w:p w14:paraId="79E1E4DF">
      <w:pPr>
        <w:pStyle w:val="4"/>
        <w:spacing w:beforeLines="50" w:afterLines="50" w:line="440" w:lineRule="exact"/>
        <w:rPr>
          <w:rFonts w:ascii="黑体" w:hAnsi="黑体" w:eastAsia="黑体" w:cs="黑体"/>
          <w:color w:val="auto"/>
          <w:sz w:val="28"/>
          <w:szCs w:val="28"/>
        </w:rPr>
      </w:pPr>
      <w:r>
        <w:rPr>
          <w:rFonts w:hint="eastAsia" w:ascii="黑体" w:hAnsi="黑体" w:eastAsia="黑体" w:cs="黑体"/>
          <w:color w:val="auto"/>
          <w:sz w:val="28"/>
          <w:szCs w:val="28"/>
        </w:rPr>
        <w:t>四  比较与评价</w:t>
      </w:r>
      <w:bookmarkEnd w:id="87"/>
      <w:bookmarkEnd w:id="88"/>
      <w:bookmarkEnd w:id="89"/>
      <w:bookmarkEnd w:id="90"/>
      <w:bookmarkEnd w:id="91"/>
    </w:p>
    <w:p w14:paraId="6442370A">
      <w:pPr>
        <w:spacing w:line="440" w:lineRule="exact"/>
        <w:ind w:firstLine="420" w:firstLineChars="200"/>
        <w:rPr>
          <w:rFonts w:ascii="宋体" w:hAnsi="宋体" w:cs="宋体"/>
          <w:bCs/>
          <w:color w:val="auto"/>
          <w:szCs w:val="21"/>
        </w:rPr>
      </w:pPr>
      <w:r>
        <w:rPr>
          <w:rFonts w:hint="eastAsia" w:ascii="宋体" w:hAnsi="宋体" w:cs="宋体"/>
          <w:bCs/>
          <w:color w:val="auto"/>
          <w:szCs w:val="21"/>
        </w:rPr>
        <w:t>6. 详细评审即按招标文件中规定的评标方法和标准，评标委员会将对通过初审的投标文件，进行资信、技术和商务部分评估、综合比较与评价。</w:t>
      </w:r>
    </w:p>
    <w:p w14:paraId="5B32CE20">
      <w:pPr>
        <w:tabs>
          <w:tab w:val="left" w:pos="1080"/>
        </w:tabs>
        <w:spacing w:line="440" w:lineRule="exact"/>
        <w:ind w:firstLine="422" w:firstLineChars="200"/>
        <w:rPr>
          <w:color w:val="auto"/>
        </w:rPr>
      </w:pPr>
      <w:r>
        <w:rPr>
          <w:rFonts w:hint="eastAsia" w:ascii="宋体" w:hAnsi="宋体" w:cs="宋体"/>
          <w:b/>
          <w:color w:val="auto"/>
          <w:szCs w:val="21"/>
        </w:rPr>
        <w:t>6.1资信评审细则（</w:t>
      </w:r>
      <w:r>
        <w:rPr>
          <w:rFonts w:hint="eastAsia" w:ascii="宋体" w:hAnsi="宋体" w:cs="宋体"/>
          <w:b/>
          <w:color w:val="auto"/>
          <w:szCs w:val="21"/>
          <w:lang w:val="en-US" w:eastAsia="zh-CN"/>
        </w:rPr>
        <w:t>40</w:t>
      </w:r>
      <w:r>
        <w:rPr>
          <w:rFonts w:hint="eastAsia" w:ascii="宋体" w:hAnsi="宋体" w:cs="宋体"/>
          <w:b/>
          <w:color w:val="auto"/>
          <w:szCs w:val="21"/>
        </w:rPr>
        <w:t>分）</w:t>
      </w:r>
    </w:p>
    <w:tbl>
      <w:tblPr>
        <w:tblStyle w:val="40"/>
        <w:tblW w:w="91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227"/>
        <w:gridCol w:w="859"/>
        <w:gridCol w:w="4755"/>
        <w:gridCol w:w="1502"/>
      </w:tblGrid>
      <w:tr w14:paraId="35E9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855" w:type="dxa"/>
            <w:vAlign w:val="center"/>
          </w:tcPr>
          <w:p w14:paraId="2F76BBFD">
            <w:pPr>
              <w:spacing w:line="500" w:lineRule="exact"/>
              <w:jc w:val="center"/>
              <w:rPr>
                <w:rFonts w:ascii="宋体" w:hAnsi="宋体" w:cs="宋体"/>
                <w:color w:val="auto"/>
                <w:szCs w:val="21"/>
              </w:rPr>
            </w:pPr>
            <w:r>
              <w:rPr>
                <w:rFonts w:hint="eastAsia" w:ascii="宋体" w:hAnsi="宋体" w:cs="宋体"/>
                <w:color w:val="auto"/>
                <w:szCs w:val="21"/>
              </w:rPr>
              <w:t>序号</w:t>
            </w:r>
          </w:p>
        </w:tc>
        <w:tc>
          <w:tcPr>
            <w:tcW w:w="1227" w:type="dxa"/>
            <w:vAlign w:val="center"/>
          </w:tcPr>
          <w:p w14:paraId="1B26708E">
            <w:pPr>
              <w:spacing w:line="500" w:lineRule="exact"/>
              <w:rPr>
                <w:rFonts w:ascii="宋体" w:hAnsi="宋体" w:cs="宋体"/>
                <w:color w:val="auto"/>
                <w:szCs w:val="21"/>
              </w:rPr>
            </w:pPr>
            <w:r>
              <w:rPr>
                <w:rFonts w:hint="eastAsia" w:ascii="宋体" w:hAnsi="宋体" w:cs="宋体"/>
                <w:color w:val="auto"/>
                <w:szCs w:val="21"/>
              </w:rPr>
              <w:t>评分因素</w:t>
            </w:r>
          </w:p>
        </w:tc>
        <w:tc>
          <w:tcPr>
            <w:tcW w:w="859" w:type="dxa"/>
            <w:vAlign w:val="center"/>
          </w:tcPr>
          <w:p w14:paraId="50B65F7D">
            <w:pPr>
              <w:spacing w:line="500" w:lineRule="exact"/>
              <w:jc w:val="center"/>
              <w:rPr>
                <w:rFonts w:ascii="宋体" w:hAnsi="宋体" w:cs="宋体"/>
                <w:color w:val="auto"/>
                <w:szCs w:val="21"/>
              </w:rPr>
            </w:pPr>
            <w:r>
              <w:rPr>
                <w:rFonts w:hint="eastAsia" w:ascii="宋体" w:hAnsi="宋体" w:cs="宋体"/>
                <w:color w:val="auto"/>
                <w:szCs w:val="21"/>
              </w:rPr>
              <w:t>分值</w:t>
            </w:r>
          </w:p>
        </w:tc>
        <w:tc>
          <w:tcPr>
            <w:tcW w:w="4755" w:type="dxa"/>
            <w:vAlign w:val="center"/>
          </w:tcPr>
          <w:p w14:paraId="7632C6C1">
            <w:pPr>
              <w:spacing w:line="500" w:lineRule="exact"/>
              <w:jc w:val="center"/>
              <w:rPr>
                <w:rFonts w:ascii="宋体" w:hAnsi="宋体" w:cs="宋体"/>
                <w:color w:val="auto"/>
                <w:szCs w:val="21"/>
              </w:rPr>
            </w:pPr>
            <w:r>
              <w:rPr>
                <w:rFonts w:hint="eastAsia" w:ascii="宋体" w:hAnsi="宋体" w:cs="宋体"/>
                <w:color w:val="auto"/>
                <w:szCs w:val="21"/>
              </w:rPr>
              <w:t>评审细则</w:t>
            </w:r>
          </w:p>
        </w:tc>
        <w:tc>
          <w:tcPr>
            <w:tcW w:w="1502" w:type="dxa"/>
            <w:vAlign w:val="center"/>
          </w:tcPr>
          <w:p w14:paraId="51E18F65">
            <w:pPr>
              <w:spacing w:line="500" w:lineRule="exact"/>
              <w:jc w:val="center"/>
              <w:rPr>
                <w:rFonts w:ascii="宋体" w:hAnsi="宋体" w:cs="宋体"/>
                <w:color w:val="auto"/>
                <w:szCs w:val="21"/>
              </w:rPr>
            </w:pPr>
            <w:r>
              <w:rPr>
                <w:rFonts w:hint="eastAsia" w:hAnsi="宋体"/>
                <w:color w:val="auto"/>
                <w:szCs w:val="21"/>
              </w:rPr>
              <w:t>须提供的证明材料</w:t>
            </w:r>
          </w:p>
        </w:tc>
      </w:tr>
      <w:tr w14:paraId="7A5C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Align w:val="center"/>
          </w:tcPr>
          <w:p w14:paraId="44A4797A">
            <w:pPr>
              <w:spacing w:line="360" w:lineRule="exact"/>
              <w:jc w:val="center"/>
              <w:rPr>
                <w:rFonts w:ascii="宋体" w:hAnsi="宋体"/>
                <w:color w:val="auto"/>
                <w:sz w:val="24"/>
                <w:szCs w:val="24"/>
              </w:rPr>
            </w:pPr>
            <w:r>
              <w:rPr>
                <w:rFonts w:hint="eastAsia" w:ascii="宋体" w:hAnsi="宋体" w:cs="宋体"/>
                <w:color w:val="auto"/>
                <w:szCs w:val="21"/>
              </w:rPr>
              <w:t>1</w:t>
            </w:r>
          </w:p>
        </w:tc>
        <w:tc>
          <w:tcPr>
            <w:tcW w:w="1227" w:type="dxa"/>
            <w:vAlign w:val="center"/>
          </w:tcPr>
          <w:p w14:paraId="79AB024D">
            <w:pPr>
              <w:adjustRightInd w:val="0"/>
              <w:snapToGrid w:val="0"/>
              <w:spacing w:line="400" w:lineRule="exact"/>
              <w:jc w:val="center"/>
              <w:rPr>
                <w:rFonts w:hAnsi="宋体"/>
                <w:bCs/>
                <w:color w:val="auto"/>
                <w:szCs w:val="21"/>
              </w:rPr>
            </w:pPr>
            <w:r>
              <w:rPr>
                <w:rFonts w:hint="eastAsia" w:hAnsi="宋体"/>
                <w:bCs/>
                <w:color w:val="auto"/>
                <w:szCs w:val="21"/>
              </w:rPr>
              <w:t>企业业绩</w:t>
            </w:r>
          </w:p>
        </w:tc>
        <w:tc>
          <w:tcPr>
            <w:tcW w:w="859" w:type="dxa"/>
            <w:vAlign w:val="center"/>
          </w:tcPr>
          <w:p w14:paraId="1D2100B2">
            <w:pPr>
              <w:spacing w:line="360" w:lineRule="exact"/>
              <w:jc w:val="center"/>
              <w:rPr>
                <w:rFonts w:ascii="宋体" w:hAnsi="宋体" w:cs="仿宋_GB2312"/>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分</w:t>
            </w:r>
          </w:p>
        </w:tc>
        <w:tc>
          <w:tcPr>
            <w:tcW w:w="4755" w:type="dxa"/>
            <w:vAlign w:val="center"/>
          </w:tcPr>
          <w:p w14:paraId="6A442AFD">
            <w:pPr>
              <w:snapToGrid w:val="0"/>
              <w:spacing w:line="440" w:lineRule="exact"/>
              <w:jc w:val="left"/>
              <w:rPr>
                <w:rFonts w:ascii="宋体" w:hAnsi="宋体" w:cs="宋体"/>
                <w:color w:val="auto"/>
                <w:szCs w:val="21"/>
              </w:rPr>
            </w:pPr>
            <w:r>
              <w:rPr>
                <w:rFonts w:hint="eastAsia" w:ascii="宋体" w:hAnsi="宋体" w:cs="宋体"/>
                <w:color w:val="auto"/>
                <w:szCs w:val="21"/>
              </w:rPr>
              <w:t>供应商承接过机房维保服务项目</w:t>
            </w:r>
            <w:r>
              <w:rPr>
                <w:rFonts w:hint="eastAsia" w:ascii="宋体" w:hAnsi="宋体" w:cs="宋体"/>
                <w:color w:val="auto"/>
                <w:szCs w:val="21"/>
                <w:lang w:eastAsia="zh-CN"/>
              </w:rPr>
              <w:t>（</w:t>
            </w:r>
            <w:r>
              <w:rPr>
                <w:rFonts w:hint="eastAsia" w:ascii="宋体" w:hAnsi="宋体" w:cs="宋体"/>
                <w:color w:val="auto"/>
                <w:szCs w:val="21"/>
                <w:lang w:val="en-US" w:eastAsia="zh-CN"/>
              </w:rPr>
              <w:t>必须包含</w:t>
            </w:r>
            <w:r>
              <w:rPr>
                <w:rFonts w:hint="eastAsia" w:ascii="宋体" w:hAnsi="宋体" w:cs="宋体"/>
                <w:color w:val="auto"/>
                <w:szCs w:val="21"/>
              </w:rPr>
              <w:t>业绩空气调节系统</w:t>
            </w:r>
            <w:r>
              <w:rPr>
                <w:rFonts w:hint="eastAsia" w:ascii="宋体" w:hAnsi="宋体" w:cs="宋体"/>
                <w:color w:val="auto"/>
                <w:szCs w:val="21"/>
                <w:lang w:val="en-US" w:eastAsia="zh-CN"/>
              </w:rPr>
              <w:t>类</w:t>
            </w:r>
            <w:r>
              <w:rPr>
                <w:rFonts w:hint="eastAsia" w:ascii="宋体" w:hAnsi="宋体" w:cs="宋体"/>
                <w:color w:val="auto"/>
                <w:szCs w:val="21"/>
                <w:lang w:eastAsia="zh-CN"/>
              </w:rPr>
              <w:t>、</w:t>
            </w:r>
            <w:r>
              <w:rPr>
                <w:rFonts w:hint="eastAsia" w:ascii="宋体" w:hAnsi="宋体" w:cs="宋体"/>
                <w:color w:val="auto"/>
                <w:szCs w:val="21"/>
              </w:rPr>
              <w:t>消防报警及灭火系统</w:t>
            </w:r>
            <w:r>
              <w:rPr>
                <w:rFonts w:hint="eastAsia" w:ascii="宋体" w:hAnsi="宋体" w:cs="宋体"/>
                <w:color w:val="auto"/>
                <w:szCs w:val="21"/>
                <w:lang w:val="en-US" w:eastAsia="zh-CN"/>
              </w:rPr>
              <w:t>类）</w:t>
            </w:r>
            <w:r>
              <w:rPr>
                <w:rFonts w:hint="eastAsia" w:ascii="宋体" w:hAnsi="宋体" w:cs="宋体"/>
                <w:color w:val="auto"/>
                <w:szCs w:val="21"/>
              </w:rPr>
              <w:t>的得</w:t>
            </w:r>
            <w:r>
              <w:rPr>
                <w:rFonts w:hint="eastAsia" w:ascii="宋体" w:hAnsi="宋体" w:cs="宋体"/>
                <w:color w:val="auto"/>
                <w:szCs w:val="21"/>
                <w:lang w:val="en-US" w:eastAsia="zh-CN"/>
              </w:rPr>
              <w:t>5</w:t>
            </w:r>
            <w:r>
              <w:rPr>
                <w:rFonts w:hint="eastAsia" w:ascii="宋体" w:hAnsi="宋体" w:cs="宋体"/>
                <w:color w:val="auto"/>
                <w:szCs w:val="21"/>
              </w:rPr>
              <w:t>分，最高得</w:t>
            </w:r>
            <w:r>
              <w:rPr>
                <w:rFonts w:hint="eastAsia" w:ascii="宋体" w:hAnsi="宋体" w:cs="宋体"/>
                <w:color w:val="auto"/>
                <w:szCs w:val="21"/>
                <w:lang w:val="en-US" w:eastAsia="zh-CN"/>
              </w:rPr>
              <w:t>10</w:t>
            </w:r>
            <w:r>
              <w:rPr>
                <w:rFonts w:hint="eastAsia" w:ascii="宋体" w:hAnsi="宋体" w:cs="宋体"/>
                <w:color w:val="auto"/>
                <w:szCs w:val="21"/>
              </w:rPr>
              <w:t>分，未提供的不得分。</w:t>
            </w:r>
          </w:p>
          <w:p w14:paraId="4CFFA676">
            <w:pPr>
              <w:snapToGrid w:val="0"/>
              <w:spacing w:line="440" w:lineRule="exact"/>
              <w:jc w:val="left"/>
              <w:rPr>
                <w:rFonts w:ascii="宋体" w:hAnsi="宋体"/>
                <w:b/>
                <w:bCs/>
                <w:color w:val="auto"/>
                <w:kern w:val="2"/>
                <w:szCs w:val="21"/>
              </w:rPr>
            </w:pPr>
            <w:r>
              <w:rPr>
                <w:rFonts w:hint="eastAsia" w:ascii="宋体" w:hAnsi="宋体" w:cs="宋体"/>
                <w:b/>
                <w:bCs/>
                <w:color w:val="auto"/>
                <w:szCs w:val="21"/>
              </w:rPr>
              <w:t>注：</w:t>
            </w:r>
            <w:r>
              <w:rPr>
                <w:rFonts w:hint="eastAsia" w:ascii="宋体" w:hAnsi="宋体"/>
                <w:b/>
                <w:bCs/>
                <w:color w:val="auto"/>
                <w:kern w:val="2"/>
                <w:szCs w:val="21"/>
              </w:rPr>
              <w:t>本项对正在履约或已履约完成业绩均予以认</w:t>
            </w:r>
          </w:p>
          <w:p w14:paraId="00631027">
            <w:pPr>
              <w:snapToGrid w:val="0"/>
              <w:spacing w:line="440" w:lineRule="exact"/>
              <w:jc w:val="left"/>
              <w:rPr>
                <w:rFonts w:ascii="宋体" w:hAnsi="宋体"/>
                <w:color w:val="auto"/>
                <w:sz w:val="28"/>
                <w:szCs w:val="21"/>
              </w:rPr>
            </w:pPr>
            <w:r>
              <w:rPr>
                <w:rFonts w:hint="eastAsia" w:ascii="宋体" w:hAnsi="宋体"/>
                <w:b/>
                <w:bCs/>
                <w:color w:val="auto"/>
                <w:kern w:val="2"/>
                <w:szCs w:val="21"/>
              </w:rPr>
              <w:t>可。</w:t>
            </w:r>
            <w:r>
              <w:rPr>
                <w:rFonts w:hint="eastAsia" w:ascii="宋体" w:hAnsi="宋体" w:cs="宋体"/>
                <w:b/>
                <w:bCs/>
                <w:color w:val="auto"/>
                <w:szCs w:val="21"/>
                <w:u w:color="000000"/>
              </w:rPr>
              <w:t>须提供合同原件复印件</w:t>
            </w:r>
            <w:r>
              <w:rPr>
                <w:rFonts w:hint="eastAsia" w:ascii="宋体" w:hAnsi="宋体" w:cs="宋体"/>
                <w:b/>
                <w:bCs/>
                <w:color w:val="auto"/>
                <w:szCs w:val="21"/>
                <w:u w:color="000000"/>
                <w:lang w:eastAsia="zh-CN"/>
              </w:rPr>
              <w:t>，</w:t>
            </w:r>
            <w:r>
              <w:rPr>
                <w:rFonts w:hint="eastAsia" w:ascii="Times New Roman" w:hAnsi="Times New Roman" w:eastAsia="宋体" w:cs="Times New Roman"/>
                <w:b/>
                <w:bCs/>
                <w:color w:val="auto"/>
                <w:kern w:val="2"/>
                <w:sz w:val="21"/>
                <w:szCs w:val="24"/>
                <w:highlight w:val="none"/>
                <w:lang w:val="en-US" w:eastAsia="zh-CN" w:bidi="ar-SA"/>
              </w:rPr>
              <w:t>若合同中体现不出评审要素的，须提供业绩合同甲方的证明材料，否则不予认可，及</w:t>
            </w:r>
            <w:r>
              <w:rPr>
                <w:rFonts w:hint="eastAsia" w:ascii="宋体" w:hAnsi="宋体" w:cs="宋体"/>
                <w:b/>
                <w:bCs/>
                <w:color w:val="auto"/>
                <w:szCs w:val="21"/>
              </w:rPr>
              <w:t>合同甲方加盖过公章的服务评价材料（评价意见需为优秀或满意），</w:t>
            </w:r>
            <w:r>
              <w:rPr>
                <w:rFonts w:hint="eastAsia" w:ascii="宋体" w:hAnsi="宋体"/>
                <w:b/>
                <w:bCs/>
                <w:color w:val="auto"/>
                <w:kern w:val="2"/>
                <w:szCs w:val="21"/>
              </w:rPr>
              <w:t>否则不得分。</w:t>
            </w:r>
          </w:p>
        </w:tc>
        <w:tc>
          <w:tcPr>
            <w:tcW w:w="1502" w:type="dxa"/>
            <w:vAlign w:val="center"/>
          </w:tcPr>
          <w:p w14:paraId="4202BBE3">
            <w:pPr>
              <w:spacing w:line="360" w:lineRule="exact"/>
              <w:jc w:val="center"/>
              <w:rPr>
                <w:rFonts w:ascii="宋体" w:hAnsi="宋体"/>
                <w:bCs/>
                <w:color w:val="auto"/>
                <w:szCs w:val="21"/>
              </w:rPr>
            </w:pPr>
            <w:r>
              <w:rPr>
                <w:rFonts w:hint="eastAsia" w:hAnsi="宋体"/>
                <w:bCs/>
                <w:color w:val="auto"/>
                <w:szCs w:val="21"/>
              </w:rPr>
              <w:t>检验标书</w:t>
            </w:r>
          </w:p>
        </w:tc>
      </w:tr>
      <w:tr w14:paraId="182D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Align w:val="center"/>
          </w:tcPr>
          <w:p w14:paraId="6DC2B223">
            <w:pPr>
              <w:spacing w:line="360" w:lineRule="exact"/>
              <w:jc w:val="center"/>
              <w:rPr>
                <w:rFonts w:ascii="宋体" w:hAnsi="宋体" w:cs="宋体"/>
                <w:color w:val="auto"/>
                <w:szCs w:val="21"/>
              </w:rPr>
            </w:pPr>
            <w:r>
              <w:rPr>
                <w:rFonts w:hint="eastAsia" w:ascii="宋体" w:hAnsi="宋体" w:cs="宋体"/>
                <w:color w:val="auto"/>
                <w:szCs w:val="21"/>
              </w:rPr>
              <w:t>2</w:t>
            </w:r>
          </w:p>
        </w:tc>
        <w:tc>
          <w:tcPr>
            <w:tcW w:w="1227" w:type="dxa"/>
            <w:vAlign w:val="center"/>
          </w:tcPr>
          <w:p w14:paraId="037AB10F">
            <w:pPr>
              <w:adjustRightInd w:val="0"/>
              <w:snapToGrid w:val="0"/>
              <w:spacing w:line="400" w:lineRule="exact"/>
              <w:jc w:val="center"/>
              <w:rPr>
                <w:rFonts w:hAnsi="宋体"/>
                <w:bCs/>
                <w:color w:val="auto"/>
                <w:szCs w:val="21"/>
                <w:highlight w:val="none"/>
              </w:rPr>
            </w:pPr>
            <w:r>
              <w:rPr>
                <w:rFonts w:hint="eastAsia" w:hAnsi="宋体"/>
                <w:bCs/>
                <w:color w:val="auto"/>
                <w:szCs w:val="21"/>
                <w:highlight w:val="none"/>
              </w:rPr>
              <w:t>项目团队</w:t>
            </w:r>
          </w:p>
          <w:p w14:paraId="568EA185">
            <w:pPr>
              <w:adjustRightInd w:val="0"/>
              <w:snapToGrid w:val="0"/>
              <w:spacing w:line="400" w:lineRule="exact"/>
              <w:jc w:val="center"/>
              <w:rPr>
                <w:rFonts w:hAnsi="宋体"/>
                <w:bCs/>
                <w:color w:val="auto"/>
                <w:szCs w:val="21"/>
                <w:highlight w:val="none"/>
              </w:rPr>
            </w:pPr>
          </w:p>
        </w:tc>
        <w:tc>
          <w:tcPr>
            <w:tcW w:w="859" w:type="dxa"/>
            <w:vAlign w:val="center"/>
          </w:tcPr>
          <w:p w14:paraId="5CF1E402">
            <w:pPr>
              <w:spacing w:line="360" w:lineRule="exact"/>
              <w:jc w:val="center"/>
              <w:rPr>
                <w:rFonts w:ascii="宋体" w:hAnsi="宋体" w:cs="宋体"/>
                <w:color w:val="auto"/>
                <w:szCs w:val="21"/>
              </w:rPr>
            </w:pPr>
            <w:r>
              <w:rPr>
                <w:rFonts w:hint="eastAsia" w:ascii="宋体" w:hAnsi="宋体" w:cs="宋体"/>
                <w:color w:val="auto"/>
                <w:szCs w:val="21"/>
                <w:lang w:val="en-US" w:eastAsia="zh-CN"/>
              </w:rPr>
              <w:t>19</w:t>
            </w:r>
            <w:r>
              <w:rPr>
                <w:rFonts w:hint="eastAsia" w:ascii="宋体" w:hAnsi="宋体" w:cs="宋体"/>
                <w:color w:val="auto"/>
                <w:szCs w:val="21"/>
              </w:rPr>
              <w:t>分</w:t>
            </w:r>
          </w:p>
        </w:tc>
        <w:tc>
          <w:tcPr>
            <w:tcW w:w="4755" w:type="dxa"/>
            <w:vAlign w:val="center"/>
          </w:tcPr>
          <w:p w14:paraId="5C680809">
            <w:pPr>
              <w:snapToGrid w:val="0"/>
              <w:spacing w:line="440" w:lineRule="exact"/>
              <w:jc w:val="left"/>
              <w:rPr>
                <w:rFonts w:ascii="宋体" w:hAnsi="宋体" w:cs="宋体"/>
                <w:color w:val="auto"/>
                <w:szCs w:val="21"/>
                <w:highlight w:val="none"/>
              </w:rPr>
            </w:pPr>
            <w:r>
              <w:rPr>
                <w:rFonts w:hint="eastAsia" w:ascii="宋体" w:hAnsi="宋体" w:cs="宋体"/>
                <w:color w:val="auto"/>
                <w:szCs w:val="21"/>
              </w:rPr>
              <w:t>1、投标人</w:t>
            </w:r>
            <w:r>
              <w:rPr>
                <w:rFonts w:hint="eastAsia" w:ascii="宋体" w:hAnsi="宋体" w:cs="宋体"/>
                <w:color w:val="auto"/>
                <w:szCs w:val="21"/>
                <w:highlight w:val="none"/>
              </w:rPr>
              <w:t>为本项目配备的项目团队具有：</w:t>
            </w:r>
          </w:p>
          <w:p w14:paraId="6951F68E">
            <w:pPr>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 xml:space="preserve">（1）建筑电气类专业中级及以上职称证书，得 </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2C727EDA">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（2） 机械专业中级及以上职称证书，得 </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64B47C69">
            <w:pPr>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 xml:space="preserve">（3）计算机专业中级及以上职称证书，得 </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本小项</w:t>
            </w:r>
            <w:r>
              <w:rPr>
                <w:rFonts w:hint="eastAsia" w:ascii="宋体" w:hAnsi="宋体" w:cs="宋体"/>
                <w:color w:val="auto"/>
                <w:szCs w:val="21"/>
                <w:lang w:val="en-US" w:eastAsia="zh-CN"/>
              </w:rPr>
              <w:t>满分</w:t>
            </w:r>
            <w:r>
              <w:rPr>
                <w:rFonts w:hint="eastAsia" w:ascii="宋体" w:hAnsi="宋体" w:cs="宋体"/>
                <w:color w:val="auto"/>
                <w:szCs w:val="21"/>
              </w:rPr>
              <w:t>得</w:t>
            </w:r>
            <w:r>
              <w:rPr>
                <w:rFonts w:hint="eastAsia" w:ascii="宋体" w:hAnsi="宋体" w:cs="宋体"/>
                <w:color w:val="auto"/>
                <w:szCs w:val="21"/>
                <w:lang w:val="en-US" w:eastAsia="zh-CN"/>
              </w:rPr>
              <w:t>9</w:t>
            </w:r>
            <w:r>
              <w:rPr>
                <w:rFonts w:hint="eastAsia" w:ascii="宋体" w:hAnsi="宋体" w:cs="宋体"/>
                <w:color w:val="auto"/>
                <w:szCs w:val="21"/>
              </w:rPr>
              <w:t>分，未提供的不得分。</w:t>
            </w:r>
          </w:p>
          <w:p w14:paraId="69A02C3E">
            <w:pPr>
              <w:snapToGrid w:val="0"/>
              <w:spacing w:line="440" w:lineRule="exact"/>
              <w:jc w:val="left"/>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2、投标人拟委任的专业维修人员(2 名)：具有中华人民共和国特种作业操作证（制冷与空调作业））证书的，每提供一人得 2.5 分，本小项满分 5 分；</w:t>
            </w:r>
          </w:p>
          <w:p w14:paraId="64F94B72">
            <w:pPr>
              <w:snapToGrid w:val="0"/>
              <w:spacing w:line="44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3、</w:t>
            </w:r>
            <w:r>
              <w:rPr>
                <w:rFonts w:hint="eastAsia" w:ascii="宋体" w:hAnsi="宋体" w:cs="宋体"/>
                <w:color w:val="auto"/>
                <w:szCs w:val="21"/>
              </w:rPr>
              <w:t xml:space="preserve">投标人拟委任的特种作业人员（2 名）具有：特种作业操作证书（低压电工）的，每提供一人得 2.5分，本小项满分 </w:t>
            </w:r>
            <w:r>
              <w:rPr>
                <w:rFonts w:hint="eastAsia" w:ascii="宋体" w:hAnsi="宋体" w:cs="宋体"/>
                <w:color w:val="auto"/>
                <w:szCs w:val="21"/>
                <w:lang w:val="en-US" w:eastAsia="zh-CN"/>
              </w:rPr>
              <w:t>5</w:t>
            </w:r>
            <w:r>
              <w:rPr>
                <w:rFonts w:hint="eastAsia" w:ascii="宋体" w:hAnsi="宋体" w:cs="宋体"/>
                <w:color w:val="auto"/>
                <w:szCs w:val="21"/>
              </w:rPr>
              <w:t>分；</w:t>
            </w:r>
          </w:p>
          <w:p w14:paraId="634F681B">
            <w:pPr>
              <w:snapToGrid w:val="0"/>
              <w:spacing w:line="440" w:lineRule="exact"/>
              <w:jc w:val="left"/>
              <w:rPr>
                <w:rFonts w:ascii="宋体" w:hAnsi="宋体" w:cs="宋体"/>
                <w:b/>
                <w:bCs/>
                <w:color w:val="auto"/>
                <w:szCs w:val="21"/>
                <w:highlight w:val="none"/>
              </w:rPr>
            </w:pPr>
            <w:r>
              <w:rPr>
                <w:rFonts w:hint="eastAsia" w:ascii="宋体" w:hAnsi="宋体" w:cs="宋体"/>
                <w:b/>
                <w:bCs/>
                <w:color w:val="auto"/>
                <w:szCs w:val="21"/>
                <w:highlight w:val="none"/>
              </w:rPr>
              <w:t>注：1、投标文件中同时提供：</w:t>
            </w:r>
          </w:p>
          <w:p w14:paraId="0692033D">
            <w:pPr>
              <w:snapToGrid w:val="0"/>
              <w:spacing w:line="440" w:lineRule="exact"/>
              <w:jc w:val="left"/>
              <w:rPr>
                <w:rFonts w:ascii="宋体" w:hAnsi="宋体" w:cs="宋体"/>
                <w:b/>
                <w:bCs/>
                <w:color w:val="auto"/>
                <w:szCs w:val="21"/>
                <w:highlight w:val="none"/>
              </w:rPr>
            </w:pPr>
            <w:r>
              <w:rPr>
                <w:rFonts w:hint="eastAsia" w:ascii="宋体" w:hAnsi="宋体" w:cs="宋体"/>
                <w:b/>
                <w:bCs/>
                <w:color w:val="auto"/>
                <w:szCs w:val="21"/>
                <w:highlight w:val="none"/>
              </w:rPr>
              <w:t>（1）人员名单（格式自拟）；</w:t>
            </w:r>
          </w:p>
          <w:p w14:paraId="2AC90CD9">
            <w:pPr>
              <w:snapToGrid w:val="0"/>
              <w:spacing w:line="440" w:lineRule="exact"/>
              <w:jc w:val="left"/>
              <w:rPr>
                <w:rFonts w:ascii="宋体" w:hAnsi="宋体" w:cs="宋体"/>
                <w:b/>
                <w:bCs/>
                <w:color w:val="auto"/>
                <w:szCs w:val="21"/>
              </w:rPr>
            </w:pPr>
            <w:r>
              <w:rPr>
                <w:rFonts w:hint="eastAsia" w:ascii="宋体" w:hAnsi="宋体" w:cs="宋体"/>
                <w:b/>
                <w:bCs/>
                <w:color w:val="auto"/>
                <w:szCs w:val="21"/>
                <w:highlight w:val="none"/>
              </w:rPr>
              <w:t>（2）上述人员相应的证书扫</w:t>
            </w:r>
            <w:r>
              <w:rPr>
                <w:rFonts w:hint="eastAsia" w:ascii="宋体" w:hAnsi="宋体" w:cs="宋体"/>
                <w:b/>
                <w:bCs/>
                <w:color w:val="auto"/>
                <w:szCs w:val="21"/>
              </w:rPr>
              <w:t>描件；</w:t>
            </w:r>
          </w:p>
          <w:p w14:paraId="49BE8BC3">
            <w:pPr>
              <w:snapToGrid w:val="0"/>
              <w:spacing w:line="440" w:lineRule="exact"/>
              <w:jc w:val="left"/>
              <w:rPr>
                <w:rFonts w:ascii="宋体" w:hAnsi="宋体" w:cs="宋体"/>
                <w:b/>
                <w:bCs/>
                <w:color w:val="auto"/>
                <w:szCs w:val="21"/>
              </w:rPr>
            </w:pPr>
            <w:r>
              <w:rPr>
                <w:rFonts w:hint="eastAsia" w:ascii="宋体" w:hAnsi="宋体" w:cs="宋体"/>
                <w:b/>
                <w:bCs/>
                <w:color w:val="auto"/>
                <w:szCs w:val="21"/>
              </w:rPr>
              <w:t>（3）投标人为上述人员缴纳的近 4 个月内（任一</w:t>
            </w:r>
          </w:p>
          <w:p w14:paraId="32B94073">
            <w:pPr>
              <w:snapToGrid w:val="0"/>
              <w:spacing w:line="440" w:lineRule="exact"/>
              <w:jc w:val="left"/>
              <w:rPr>
                <w:rFonts w:ascii="宋体" w:hAnsi="宋体" w:cs="宋体"/>
                <w:b/>
                <w:bCs/>
                <w:color w:val="auto"/>
                <w:szCs w:val="21"/>
              </w:rPr>
            </w:pPr>
            <w:r>
              <w:rPr>
                <w:rFonts w:hint="eastAsia" w:ascii="宋体" w:hAnsi="宋体" w:cs="宋体"/>
                <w:b/>
                <w:bCs/>
                <w:color w:val="auto"/>
                <w:szCs w:val="21"/>
              </w:rPr>
              <w:t>个月即可）的社保证明材料。具体形式详见投标人</w:t>
            </w:r>
          </w:p>
          <w:p w14:paraId="0EC54DF1">
            <w:pPr>
              <w:snapToGrid w:val="0"/>
              <w:spacing w:line="440" w:lineRule="exact"/>
              <w:jc w:val="left"/>
              <w:rPr>
                <w:rFonts w:ascii="宋体" w:hAnsi="宋体" w:cs="宋体"/>
                <w:b/>
                <w:bCs/>
                <w:color w:val="auto"/>
                <w:szCs w:val="21"/>
              </w:rPr>
            </w:pPr>
            <w:r>
              <w:rPr>
                <w:rFonts w:hint="eastAsia" w:ascii="宋体" w:hAnsi="宋体" w:cs="宋体"/>
                <w:b/>
                <w:bCs/>
                <w:color w:val="auto"/>
                <w:szCs w:val="21"/>
              </w:rPr>
              <w:t>须知前附表（提供任意五险之一的社保缴纳证明即</w:t>
            </w:r>
          </w:p>
          <w:p w14:paraId="7C0950B7">
            <w:pPr>
              <w:snapToGrid w:val="0"/>
              <w:spacing w:line="440" w:lineRule="exact"/>
              <w:jc w:val="left"/>
              <w:rPr>
                <w:rFonts w:ascii="宋体" w:hAnsi="宋体" w:cs="宋体"/>
                <w:b/>
                <w:bCs/>
                <w:color w:val="auto"/>
                <w:szCs w:val="21"/>
              </w:rPr>
            </w:pPr>
            <w:r>
              <w:rPr>
                <w:rFonts w:hint="eastAsia" w:ascii="宋体" w:hAnsi="宋体" w:cs="宋体"/>
                <w:b/>
                <w:bCs/>
                <w:color w:val="auto"/>
                <w:szCs w:val="21"/>
              </w:rPr>
              <w:t>可）。</w:t>
            </w:r>
          </w:p>
          <w:p w14:paraId="38FCA5C5">
            <w:pPr>
              <w:snapToGrid w:val="0"/>
              <w:spacing w:line="440" w:lineRule="exact"/>
              <w:jc w:val="left"/>
              <w:rPr>
                <w:rFonts w:ascii="宋体" w:hAnsi="宋体" w:cs="宋体"/>
                <w:b/>
                <w:bCs/>
                <w:color w:val="auto"/>
                <w:szCs w:val="21"/>
              </w:rPr>
            </w:pPr>
            <w:r>
              <w:rPr>
                <w:rFonts w:hint="eastAsia" w:ascii="宋体" w:hAnsi="宋体" w:cs="宋体"/>
                <w:b/>
                <w:bCs/>
                <w:color w:val="auto"/>
                <w:szCs w:val="21"/>
              </w:rPr>
              <w:t>2、以上岗位须专人专岗，同一人员不得相互兼任。</w:t>
            </w:r>
          </w:p>
        </w:tc>
        <w:tc>
          <w:tcPr>
            <w:tcW w:w="1502" w:type="dxa"/>
            <w:vAlign w:val="center"/>
          </w:tcPr>
          <w:p w14:paraId="7FF68024">
            <w:pPr>
              <w:spacing w:line="360" w:lineRule="exact"/>
              <w:jc w:val="center"/>
              <w:rPr>
                <w:rFonts w:hAnsi="宋体"/>
                <w:bCs/>
                <w:color w:val="auto"/>
                <w:szCs w:val="21"/>
              </w:rPr>
            </w:pPr>
            <w:r>
              <w:rPr>
                <w:rFonts w:hint="eastAsia" w:hAnsi="宋体"/>
                <w:bCs/>
                <w:color w:val="auto"/>
                <w:szCs w:val="21"/>
              </w:rPr>
              <w:t>检验标书</w:t>
            </w:r>
          </w:p>
        </w:tc>
      </w:tr>
      <w:tr w14:paraId="15B9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Align w:val="center"/>
          </w:tcPr>
          <w:p w14:paraId="130AC366">
            <w:pPr>
              <w:spacing w:line="36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1227" w:type="dxa"/>
            <w:vAlign w:val="center"/>
          </w:tcPr>
          <w:p w14:paraId="3D335823">
            <w:pPr>
              <w:adjustRightInd w:val="0"/>
              <w:snapToGrid w:val="0"/>
              <w:spacing w:line="400" w:lineRule="exact"/>
              <w:jc w:val="center"/>
              <w:rPr>
                <w:rFonts w:hAnsi="宋体"/>
                <w:bCs/>
                <w:color w:val="auto"/>
                <w:szCs w:val="21"/>
              </w:rPr>
            </w:pPr>
            <w:r>
              <w:rPr>
                <w:rFonts w:hint="eastAsia" w:hAnsi="宋体"/>
                <w:bCs/>
                <w:color w:val="auto"/>
                <w:szCs w:val="21"/>
              </w:rPr>
              <w:t>企业资质</w:t>
            </w:r>
          </w:p>
          <w:p w14:paraId="382DAA73">
            <w:pPr>
              <w:adjustRightInd w:val="0"/>
              <w:snapToGrid w:val="0"/>
              <w:spacing w:line="400" w:lineRule="exact"/>
              <w:jc w:val="center"/>
              <w:rPr>
                <w:rFonts w:hAnsi="宋体"/>
                <w:bCs/>
                <w:color w:val="auto"/>
                <w:szCs w:val="21"/>
              </w:rPr>
            </w:pPr>
          </w:p>
        </w:tc>
        <w:tc>
          <w:tcPr>
            <w:tcW w:w="859" w:type="dxa"/>
            <w:vAlign w:val="center"/>
          </w:tcPr>
          <w:p w14:paraId="5476B611">
            <w:pPr>
              <w:spacing w:line="360" w:lineRule="exact"/>
              <w:jc w:val="center"/>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分</w:t>
            </w:r>
          </w:p>
        </w:tc>
        <w:tc>
          <w:tcPr>
            <w:tcW w:w="4755" w:type="dxa"/>
            <w:vAlign w:val="center"/>
          </w:tcPr>
          <w:p w14:paraId="681B48F8">
            <w:pPr>
              <w:snapToGrid w:val="0"/>
              <w:spacing w:line="440" w:lineRule="exact"/>
              <w:jc w:val="left"/>
              <w:rPr>
                <w:rFonts w:ascii="宋体" w:hAnsi="宋体" w:cs="宋体"/>
                <w:color w:val="auto"/>
                <w:szCs w:val="21"/>
              </w:rPr>
            </w:pPr>
            <w:r>
              <w:rPr>
                <w:rFonts w:hint="eastAsia" w:ascii="宋体" w:hAnsi="宋体" w:cs="宋体"/>
                <w:color w:val="auto"/>
                <w:szCs w:val="21"/>
              </w:rPr>
              <w:t>投标人具有经中国国家认证认可监督管理委员会</w:t>
            </w:r>
          </w:p>
          <w:p w14:paraId="7A0E5339">
            <w:pPr>
              <w:snapToGrid w:val="0"/>
              <w:spacing w:line="440" w:lineRule="exact"/>
              <w:jc w:val="left"/>
              <w:rPr>
                <w:rFonts w:ascii="宋体" w:hAnsi="宋体" w:cs="宋体"/>
                <w:color w:val="auto"/>
                <w:szCs w:val="21"/>
                <w:highlight w:val="none"/>
              </w:rPr>
            </w:pPr>
            <w:r>
              <w:rPr>
                <w:rFonts w:hint="eastAsia" w:ascii="宋体" w:hAnsi="宋体" w:cs="宋体"/>
                <w:color w:val="auto"/>
                <w:szCs w:val="21"/>
              </w:rPr>
              <w:t>认</w:t>
            </w:r>
            <w:r>
              <w:rPr>
                <w:rFonts w:hint="eastAsia" w:ascii="宋体" w:hAnsi="宋体" w:cs="宋体"/>
                <w:color w:val="auto"/>
                <w:szCs w:val="21"/>
                <w:highlight w:val="none"/>
              </w:rPr>
              <w:t>证机构颁发的有效期内的下述认证的：</w:t>
            </w:r>
          </w:p>
          <w:p w14:paraId="2EC4B34F">
            <w:pPr>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（1）信息安全管理体系认证，得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1CD1608C">
            <w:pPr>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（2）信息技术服务管理体系认证，得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37AA50D2">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（3）售后服务体系相关认证，得 2 分；</w:t>
            </w:r>
          </w:p>
          <w:p w14:paraId="6A3AB7E0">
            <w:pPr>
              <w:snapToGrid w:val="0"/>
              <w:spacing w:line="440" w:lineRule="exact"/>
              <w:jc w:val="left"/>
              <w:rPr>
                <w:rFonts w:ascii="宋体" w:hAnsi="宋体" w:cs="宋体"/>
                <w:color w:val="auto"/>
                <w:szCs w:val="21"/>
              </w:rPr>
            </w:pPr>
            <w:r>
              <w:rPr>
                <w:rFonts w:hint="eastAsia" w:ascii="宋体" w:hAnsi="宋体" w:cs="宋体"/>
                <w:color w:val="auto"/>
                <w:szCs w:val="21"/>
                <w:highlight w:val="none"/>
              </w:rPr>
              <w:t>（4）消防设施工程专业承包贰级证书，得2分</w:t>
            </w:r>
            <w:r>
              <w:rPr>
                <w:rFonts w:hint="eastAsia" w:ascii="宋体" w:hAnsi="宋体" w:cs="宋体"/>
                <w:color w:val="auto"/>
                <w:szCs w:val="21"/>
              </w:rPr>
              <w:t>。</w:t>
            </w:r>
          </w:p>
          <w:p w14:paraId="1371B667">
            <w:pPr>
              <w:snapToGrid w:val="0"/>
              <w:spacing w:line="440" w:lineRule="exact"/>
              <w:jc w:val="left"/>
              <w:rPr>
                <w:rFonts w:ascii="宋体" w:hAnsi="宋体" w:cs="宋体"/>
                <w:b/>
                <w:bCs/>
                <w:color w:val="auto"/>
                <w:szCs w:val="21"/>
              </w:rPr>
            </w:pPr>
            <w:r>
              <w:rPr>
                <w:rFonts w:hint="eastAsia" w:ascii="宋体" w:hAnsi="宋体" w:cs="宋体"/>
                <w:b/>
                <w:bCs/>
                <w:color w:val="auto"/>
                <w:szCs w:val="21"/>
              </w:rPr>
              <w:t>注：投标文件中提供全国认证认可信息公共服务</w:t>
            </w:r>
          </w:p>
          <w:p w14:paraId="2550CFB3">
            <w:pPr>
              <w:snapToGrid w:val="0"/>
              <w:spacing w:line="440" w:lineRule="exact"/>
              <w:jc w:val="left"/>
              <w:rPr>
                <w:rFonts w:ascii="宋体" w:hAnsi="宋体" w:cs="宋体"/>
                <w:b/>
                <w:bCs/>
                <w:color w:val="auto"/>
                <w:szCs w:val="21"/>
              </w:rPr>
            </w:pPr>
            <w:r>
              <w:rPr>
                <w:rFonts w:hint="eastAsia" w:ascii="宋体" w:hAnsi="宋体" w:cs="宋体"/>
                <w:b/>
                <w:bCs/>
                <w:color w:val="auto"/>
                <w:szCs w:val="21"/>
              </w:rPr>
              <w:t>平台官网认证信息查询截图</w:t>
            </w:r>
          </w:p>
        </w:tc>
        <w:tc>
          <w:tcPr>
            <w:tcW w:w="1502" w:type="dxa"/>
            <w:vAlign w:val="center"/>
          </w:tcPr>
          <w:p w14:paraId="636482D7">
            <w:pPr>
              <w:spacing w:line="360" w:lineRule="exact"/>
              <w:jc w:val="center"/>
              <w:rPr>
                <w:rFonts w:hAnsi="宋体"/>
                <w:bCs/>
                <w:color w:val="auto"/>
                <w:szCs w:val="21"/>
              </w:rPr>
            </w:pPr>
            <w:r>
              <w:rPr>
                <w:rFonts w:hint="eastAsia" w:hAnsi="宋体"/>
                <w:bCs/>
                <w:color w:val="auto"/>
                <w:szCs w:val="21"/>
              </w:rPr>
              <w:t>检验标书</w:t>
            </w:r>
          </w:p>
        </w:tc>
      </w:tr>
      <w:tr w14:paraId="6F98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Align w:val="center"/>
          </w:tcPr>
          <w:p w14:paraId="598E1388">
            <w:pPr>
              <w:spacing w:line="36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1227" w:type="dxa"/>
            <w:vAlign w:val="center"/>
          </w:tcPr>
          <w:p w14:paraId="326F697C">
            <w:pPr>
              <w:adjustRightInd w:val="0"/>
              <w:snapToGrid w:val="0"/>
              <w:spacing w:line="400" w:lineRule="exact"/>
              <w:jc w:val="center"/>
              <w:rPr>
                <w:rFonts w:hAnsi="宋体"/>
                <w:bCs/>
                <w:color w:val="auto"/>
                <w:szCs w:val="21"/>
              </w:rPr>
            </w:pPr>
            <w:r>
              <w:rPr>
                <w:rFonts w:hint="eastAsia" w:hAnsi="宋体"/>
                <w:bCs/>
                <w:color w:val="auto"/>
                <w:szCs w:val="21"/>
              </w:rPr>
              <w:t>故障响应时间承诺</w:t>
            </w:r>
          </w:p>
        </w:tc>
        <w:tc>
          <w:tcPr>
            <w:tcW w:w="859" w:type="dxa"/>
            <w:vAlign w:val="center"/>
          </w:tcPr>
          <w:p w14:paraId="516EDE25">
            <w:pPr>
              <w:spacing w:line="360" w:lineRule="exact"/>
              <w:jc w:val="center"/>
              <w:rPr>
                <w:rFonts w:ascii="宋体" w:hAnsi="宋体" w:cs="宋体"/>
                <w:color w:val="auto"/>
                <w:szCs w:val="21"/>
              </w:rPr>
            </w:pPr>
            <w:r>
              <w:rPr>
                <w:rFonts w:hint="eastAsia" w:ascii="宋体" w:hAnsi="宋体" w:cs="宋体"/>
                <w:color w:val="auto"/>
                <w:szCs w:val="21"/>
              </w:rPr>
              <w:t>3分</w:t>
            </w:r>
          </w:p>
        </w:tc>
        <w:tc>
          <w:tcPr>
            <w:tcW w:w="4755" w:type="dxa"/>
            <w:vAlign w:val="center"/>
          </w:tcPr>
          <w:p w14:paraId="0D477093">
            <w:pPr>
              <w:snapToGrid w:val="0"/>
              <w:spacing w:line="440" w:lineRule="exact"/>
              <w:jc w:val="left"/>
              <w:rPr>
                <w:rFonts w:ascii="宋体" w:hAnsi="宋体" w:cs="宋体"/>
                <w:b/>
                <w:bCs/>
                <w:color w:val="auto"/>
                <w:szCs w:val="21"/>
              </w:rPr>
            </w:pPr>
            <w:r>
              <w:rPr>
                <w:rFonts w:hint="eastAsia" w:ascii="宋体" w:hAnsi="宋体" w:cs="宋体"/>
                <w:color w:val="auto"/>
                <w:szCs w:val="21"/>
              </w:rPr>
              <w:t>承诺出现故障时，在接到报修后10分钟内立即响应，1小时内赶到现场进行维修的得3分。</w:t>
            </w:r>
            <w:r>
              <w:rPr>
                <w:rFonts w:hint="eastAsia" w:ascii="宋体" w:hAnsi="宋体" w:cs="宋体"/>
                <w:b/>
                <w:bCs/>
                <w:color w:val="auto"/>
                <w:szCs w:val="21"/>
              </w:rPr>
              <w:t>承诺函格式自拟。未提供不得分。</w:t>
            </w:r>
          </w:p>
        </w:tc>
        <w:tc>
          <w:tcPr>
            <w:tcW w:w="1502" w:type="dxa"/>
            <w:vAlign w:val="center"/>
          </w:tcPr>
          <w:p w14:paraId="5AC2EB42">
            <w:pPr>
              <w:spacing w:line="360" w:lineRule="exact"/>
              <w:jc w:val="center"/>
              <w:rPr>
                <w:rFonts w:hAnsi="宋体"/>
                <w:bCs/>
                <w:color w:val="auto"/>
                <w:szCs w:val="21"/>
              </w:rPr>
            </w:pPr>
            <w:r>
              <w:rPr>
                <w:rFonts w:hint="eastAsia" w:hAnsi="宋体"/>
                <w:bCs/>
                <w:color w:val="auto"/>
                <w:szCs w:val="21"/>
              </w:rPr>
              <w:t>检验标书</w:t>
            </w:r>
          </w:p>
        </w:tc>
      </w:tr>
    </w:tbl>
    <w:p w14:paraId="46C432ED">
      <w:pPr>
        <w:tabs>
          <w:tab w:val="left" w:pos="1080"/>
        </w:tabs>
        <w:spacing w:line="440" w:lineRule="exact"/>
        <w:ind w:firstLine="422" w:firstLineChars="200"/>
        <w:rPr>
          <w:rFonts w:ascii="宋体" w:hAnsi="宋体" w:cs="宋体"/>
          <w:b/>
          <w:color w:val="auto"/>
          <w:szCs w:val="21"/>
        </w:rPr>
      </w:pPr>
      <w:r>
        <w:rPr>
          <w:rFonts w:hint="eastAsia" w:ascii="宋体" w:hAnsi="宋体" w:cs="宋体"/>
          <w:b/>
          <w:color w:val="auto"/>
          <w:szCs w:val="21"/>
        </w:rPr>
        <w:t>注：投标单位中标后，可由招标单位对业绩、人员等加分因素的真实性进行复核，如发现涉嫌造假，招标单位将依法追究其法律责任</w:t>
      </w:r>
    </w:p>
    <w:p w14:paraId="7F16E469">
      <w:pPr>
        <w:tabs>
          <w:tab w:val="left" w:pos="1080"/>
        </w:tabs>
        <w:spacing w:line="440" w:lineRule="exact"/>
        <w:ind w:firstLine="422" w:firstLineChars="200"/>
        <w:rPr>
          <w:rFonts w:ascii="宋体" w:hAnsi="宋体" w:cs="宋体"/>
          <w:b/>
          <w:color w:val="auto"/>
          <w:szCs w:val="21"/>
        </w:rPr>
      </w:pPr>
      <w:r>
        <w:rPr>
          <w:rFonts w:hint="eastAsia" w:ascii="宋体" w:hAnsi="宋体" w:cs="宋体"/>
          <w:b/>
          <w:color w:val="auto"/>
          <w:szCs w:val="21"/>
        </w:rPr>
        <w:t>6.2技术评审细则（</w:t>
      </w:r>
      <w:r>
        <w:rPr>
          <w:rFonts w:hint="eastAsia" w:ascii="宋体" w:hAnsi="宋体" w:cs="宋体"/>
          <w:b/>
          <w:color w:val="auto"/>
          <w:szCs w:val="21"/>
          <w:lang w:val="en-US" w:eastAsia="zh-CN"/>
        </w:rPr>
        <w:t>30</w:t>
      </w:r>
      <w:r>
        <w:rPr>
          <w:rFonts w:hint="eastAsia" w:ascii="宋体" w:hAnsi="宋体" w:cs="宋体"/>
          <w:b/>
          <w:color w:val="auto"/>
          <w:szCs w:val="21"/>
        </w:rPr>
        <w:t>分）</w:t>
      </w:r>
    </w:p>
    <w:tbl>
      <w:tblPr>
        <w:tblStyle w:val="4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864"/>
        <w:gridCol w:w="715"/>
        <w:gridCol w:w="5961"/>
        <w:gridCol w:w="1280"/>
      </w:tblGrid>
      <w:tr w14:paraId="27BC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49" w:type="pct"/>
            <w:vAlign w:val="center"/>
          </w:tcPr>
          <w:p w14:paraId="13D31197">
            <w:pPr>
              <w:spacing w:line="500" w:lineRule="exact"/>
              <w:jc w:val="center"/>
              <w:rPr>
                <w:rFonts w:ascii="宋体" w:hAnsi="宋体" w:cs="宋体"/>
                <w:color w:val="auto"/>
                <w:szCs w:val="21"/>
              </w:rPr>
            </w:pPr>
            <w:r>
              <w:rPr>
                <w:rFonts w:hint="eastAsia" w:ascii="宋体" w:hAnsi="宋体" w:cs="宋体"/>
                <w:color w:val="auto"/>
                <w:szCs w:val="21"/>
              </w:rPr>
              <w:t>序号</w:t>
            </w:r>
          </w:p>
        </w:tc>
        <w:tc>
          <w:tcPr>
            <w:tcW w:w="465" w:type="pct"/>
            <w:vAlign w:val="center"/>
          </w:tcPr>
          <w:p w14:paraId="070D094B">
            <w:pPr>
              <w:spacing w:line="500" w:lineRule="exact"/>
              <w:jc w:val="center"/>
              <w:rPr>
                <w:rFonts w:ascii="宋体" w:hAnsi="宋体" w:cs="宋体"/>
                <w:color w:val="auto"/>
                <w:szCs w:val="21"/>
              </w:rPr>
            </w:pPr>
            <w:r>
              <w:rPr>
                <w:rFonts w:hint="eastAsia" w:ascii="宋体" w:hAnsi="宋体" w:cs="宋体"/>
                <w:color w:val="auto"/>
                <w:szCs w:val="21"/>
              </w:rPr>
              <w:t>评分因 素</w:t>
            </w:r>
          </w:p>
        </w:tc>
        <w:tc>
          <w:tcPr>
            <w:tcW w:w="385" w:type="pct"/>
            <w:vAlign w:val="center"/>
          </w:tcPr>
          <w:p w14:paraId="54A7F67D">
            <w:pPr>
              <w:spacing w:line="500" w:lineRule="exact"/>
              <w:rPr>
                <w:rFonts w:ascii="宋体" w:hAnsi="宋体" w:cs="宋体"/>
                <w:color w:val="auto"/>
                <w:szCs w:val="21"/>
              </w:rPr>
            </w:pPr>
            <w:r>
              <w:rPr>
                <w:rFonts w:hint="eastAsia" w:ascii="宋体" w:hAnsi="宋体" w:cs="宋体"/>
                <w:color w:val="auto"/>
                <w:szCs w:val="21"/>
              </w:rPr>
              <w:t>分值</w:t>
            </w:r>
          </w:p>
        </w:tc>
        <w:tc>
          <w:tcPr>
            <w:tcW w:w="3209" w:type="pct"/>
            <w:vAlign w:val="center"/>
          </w:tcPr>
          <w:p w14:paraId="24BDB490">
            <w:pPr>
              <w:spacing w:line="500" w:lineRule="exact"/>
              <w:jc w:val="center"/>
              <w:rPr>
                <w:rFonts w:ascii="宋体" w:hAnsi="宋体" w:cs="宋体"/>
                <w:color w:val="auto"/>
                <w:szCs w:val="21"/>
              </w:rPr>
            </w:pPr>
            <w:r>
              <w:rPr>
                <w:rFonts w:hint="eastAsia" w:ascii="宋体" w:hAnsi="宋体" w:cs="宋体"/>
                <w:color w:val="auto"/>
                <w:szCs w:val="21"/>
              </w:rPr>
              <w:t>评审细则</w:t>
            </w:r>
          </w:p>
        </w:tc>
        <w:tc>
          <w:tcPr>
            <w:tcW w:w="689" w:type="pct"/>
            <w:vAlign w:val="center"/>
          </w:tcPr>
          <w:p w14:paraId="572BDB13">
            <w:pPr>
              <w:spacing w:line="500" w:lineRule="exact"/>
              <w:jc w:val="center"/>
              <w:rPr>
                <w:rFonts w:ascii="宋体" w:hAnsi="宋体" w:cs="宋体"/>
                <w:color w:val="auto"/>
                <w:szCs w:val="21"/>
              </w:rPr>
            </w:pPr>
            <w:r>
              <w:rPr>
                <w:rFonts w:hint="eastAsia" w:hAnsi="宋体"/>
                <w:color w:val="auto"/>
                <w:szCs w:val="21"/>
              </w:rPr>
              <w:t>须提供的证明材料</w:t>
            </w:r>
          </w:p>
        </w:tc>
      </w:tr>
      <w:tr w14:paraId="4179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49" w:type="pct"/>
            <w:vAlign w:val="center"/>
          </w:tcPr>
          <w:p w14:paraId="1F44898C">
            <w:pPr>
              <w:spacing w:line="500" w:lineRule="exact"/>
              <w:jc w:val="center"/>
              <w:rPr>
                <w:rFonts w:ascii="宋体" w:hAnsi="宋体" w:cs="宋体"/>
                <w:color w:val="auto"/>
                <w:szCs w:val="21"/>
              </w:rPr>
            </w:pPr>
            <w:r>
              <w:rPr>
                <w:rFonts w:hint="eastAsia" w:ascii="宋体" w:hAnsi="宋体" w:cs="宋体"/>
                <w:color w:val="auto"/>
                <w:szCs w:val="21"/>
              </w:rPr>
              <w:t>1</w:t>
            </w:r>
          </w:p>
        </w:tc>
        <w:tc>
          <w:tcPr>
            <w:tcW w:w="465" w:type="pct"/>
            <w:vAlign w:val="center"/>
          </w:tcPr>
          <w:p w14:paraId="4104F129">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运维服务方</w:t>
            </w:r>
          </w:p>
          <w:p w14:paraId="710A5B37">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案</w:t>
            </w:r>
          </w:p>
          <w:p w14:paraId="3E983A75">
            <w:pPr>
              <w:adjustRightInd w:val="0"/>
              <w:snapToGrid w:val="0"/>
              <w:spacing w:line="400" w:lineRule="exact"/>
              <w:jc w:val="center"/>
              <w:rPr>
                <w:rFonts w:ascii="宋体" w:hAnsi="宋体" w:cs="宋体"/>
                <w:color w:val="auto"/>
                <w:szCs w:val="21"/>
              </w:rPr>
            </w:pPr>
          </w:p>
        </w:tc>
        <w:tc>
          <w:tcPr>
            <w:tcW w:w="385" w:type="pct"/>
            <w:vAlign w:val="center"/>
          </w:tcPr>
          <w:p w14:paraId="6CD1981D">
            <w:pPr>
              <w:spacing w:line="360" w:lineRule="exact"/>
              <w:jc w:val="center"/>
              <w:rPr>
                <w:rFonts w:ascii="宋体" w:hAnsi="宋体" w:cs="宋体"/>
                <w:color w:val="auto"/>
                <w:szCs w:val="21"/>
              </w:rPr>
            </w:pPr>
            <w:r>
              <w:rPr>
                <w:rFonts w:hint="eastAsia" w:ascii="宋体" w:hAnsi="宋体" w:cs="宋体"/>
                <w:color w:val="auto"/>
                <w:szCs w:val="21"/>
              </w:rPr>
              <w:t>10分</w:t>
            </w:r>
          </w:p>
        </w:tc>
        <w:tc>
          <w:tcPr>
            <w:tcW w:w="3209" w:type="pct"/>
            <w:vAlign w:val="center"/>
          </w:tcPr>
          <w:p w14:paraId="16FCD07C">
            <w:pPr>
              <w:widowControl w:val="0"/>
              <w:spacing w:line="360" w:lineRule="exact"/>
              <w:jc w:val="left"/>
              <w:textAlignment w:val="auto"/>
              <w:rPr>
                <w:rFonts w:ascii="宋体" w:hAnsi="宋体" w:cs="宋体"/>
                <w:color w:val="auto"/>
              </w:rPr>
            </w:pPr>
            <w:r>
              <w:rPr>
                <w:rFonts w:hint="eastAsia" w:ascii="宋体" w:hAnsi="宋体" w:cs="宋体"/>
                <w:color w:val="auto"/>
              </w:rPr>
              <w:t>根据投标人针对本项目的运维服务总体方案进行综合评分：</w:t>
            </w:r>
          </w:p>
          <w:p w14:paraId="13680011">
            <w:pPr>
              <w:widowControl w:val="0"/>
              <w:spacing w:line="360" w:lineRule="exact"/>
              <w:jc w:val="left"/>
              <w:textAlignment w:val="auto"/>
              <w:rPr>
                <w:rFonts w:ascii="宋体" w:hAnsi="宋体" w:cs="宋体"/>
                <w:color w:val="auto"/>
              </w:rPr>
            </w:pPr>
            <w:r>
              <w:rPr>
                <w:rFonts w:hint="eastAsia" w:ascii="宋体" w:hAnsi="宋体" w:cs="宋体"/>
                <w:color w:val="auto"/>
              </w:rPr>
              <w:t>(1)运维服务内容明确、可行，针对性强，完成本项目有保障的，得 10分；</w:t>
            </w:r>
          </w:p>
          <w:p w14:paraId="473AEFB7">
            <w:pPr>
              <w:widowControl w:val="0"/>
              <w:spacing w:line="360" w:lineRule="exact"/>
              <w:jc w:val="left"/>
              <w:textAlignment w:val="auto"/>
              <w:rPr>
                <w:rFonts w:ascii="宋体" w:hAnsi="宋体" w:cs="宋体"/>
                <w:color w:val="auto"/>
              </w:rPr>
            </w:pPr>
            <w:r>
              <w:rPr>
                <w:rFonts w:hint="eastAsia" w:ascii="宋体" w:hAnsi="宋体" w:cs="宋体"/>
                <w:color w:val="auto"/>
              </w:rPr>
              <w:t>(2)服务内容较明确、可行，针对性较强，基本能完成本项目的，得 8 分；</w:t>
            </w:r>
          </w:p>
          <w:p w14:paraId="50E7D792">
            <w:pPr>
              <w:widowControl w:val="0"/>
              <w:spacing w:line="360" w:lineRule="exact"/>
              <w:jc w:val="left"/>
              <w:textAlignment w:val="auto"/>
              <w:rPr>
                <w:rFonts w:ascii="宋体" w:hAnsi="宋体" w:cs="宋体"/>
                <w:color w:val="auto"/>
              </w:rPr>
            </w:pPr>
            <w:r>
              <w:rPr>
                <w:rFonts w:hint="eastAsia" w:ascii="宋体" w:hAnsi="宋体" w:cs="宋体"/>
                <w:color w:val="auto"/>
              </w:rPr>
              <w:t>(3)服务内容可行性和针对性有待进一步提升和完善的，得6分；（4）服务内容可行性和针对性合格的，得4分；</w:t>
            </w:r>
          </w:p>
          <w:p w14:paraId="13289050">
            <w:pPr>
              <w:widowControl w:val="0"/>
              <w:spacing w:line="360" w:lineRule="exact"/>
              <w:jc w:val="left"/>
              <w:textAlignment w:val="auto"/>
              <w:rPr>
                <w:rFonts w:ascii="宋体" w:hAnsi="宋体" w:cs="宋体"/>
                <w:color w:val="auto"/>
                <w:szCs w:val="21"/>
              </w:rPr>
            </w:pPr>
            <w:r>
              <w:rPr>
                <w:rFonts w:hint="eastAsia" w:ascii="宋体" w:hAnsi="宋体" w:cs="宋体"/>
                <w:color w:val="auto"/>
              </w:rPr>
              <w:t>(5)未提供的不得分</w:t>
            </w:r>
          </w:p>
        </w:tc>
        <w:tc>
          <w:tcPr>
            <w:tcW w:w="689" w:type="pct"/>
            <w:vAlign w:val="center"/>
          </w:tcPr>
          <w:p w14:paraId="49C2CA53">
            <w:pPr>
              <w:spacing w:line="360" w:lineRule="exact"/>
              <w:jc w:val="left"/>
              <w:rPr>
                <w:rFonts w:hAnsi="宋体"/>
                <w:color w:val="auto"/>
                <w:szCs w:val="21"/>
              </w:rPr>
            </w:pPr>
            <w:r>
              <w:rPr>
                <w:rFonts w:hint="eastAsia" w:ascii="宋体" w:hAnsi="宋体" w:cs="宋体"/>
                <w:color w:val="auto"/>
                <w:szCs w:val="21"/>
              </w:rPr>
              <w:t>评审核验标书中的文件：能充分有效反映出本评分项内容。</w:t>
            </w:r>
          </w:p>
        </w:tc>
      </w:tr>
      <w:tr w14:paraId="68B8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49" w:type="pct"/>
            <w:vAlign w:val="center"/>
          </w:tcPr>
          <w:p w14:paraId="0AE10379">
            <w:pPr>
              <w:spacing w:line="500" w:lineRule="exact"/>
              <w:jc w:val="center"/>
              <w:rPr>
                <w:rFonts w:ascii="宋体" w:hAnsi="宋体" w:cs="宋体"/>
                <w:color w:val="auto"/>
                <w:szCs w:val="21"/>
              </w:rPr>
            </w:pPr>
            <w:r>
              <w:rPr>
                <w:rFonts w:hint="eastAsia" w:ascii="宋体" w:hAnsi="宋体" w:cs="宋体"/>
                <w:color w:val="auto"/>
                <w:szCs w:val="21"/>
              </w:rPr>
              <w:t>2</w:t>
            </w:r>
          </w:p>
        </w:tc>
        <w:tc>
          <w:tcPr>
            <w:tcW w:w="465" w:type="pct"/>
            <w:vAlign w:val="center"/>
          </w:tcPr>
          <w:p w14:paraId="50DD7FA9">
            <w:pPr>
              <w:adjustRightInd w:val="0"/>
              <w:snapToGrid w:val="0"/>
              <w:spacing w:line="400" w:lineRule="exact"/>
              <w:jc w:val="center"/>
              <w:rPr>
                <w:rFonts w:ascii="宋体" w:hAnsi="宋体"/>
                <w:color w:val="auto"/>
                <w:szCs w:val="21"/>
              </w:rPr>
            </w:pPr>
            <w:r>
              <w:rPr>
                <w:rFonts w:hint="eastAsia" w:ascii="宋体" w:hAnsi="宋体"/>
                <w:color w:val="auto"/>
                <w:szCs w:val="21"/>
              </w:rPr>
              <w:t>应急方案</w:t>
            </w:r>
          </w:p>
        </w:tc>
        <w:tc>
          <w:tcPr>
            <w:tcW w:w="385" w:type="pct"/>
            <w:vAlign w:val="center"/>
          </w:tcPr>
          <w:p w14:paraId="7B7F3854">
            <w:pPr>
              <w:spacing w:line="500" w:lineRule="exact"/>
              <w:ind w:firstLine="28"/>
              <w:jc w:val="center"/>
              <w:rPr>
                <w:rFonts w:ascii="宋体" w:hAnsi="宋体" w:cs="仿宋_GB2312"/>
                <w:color w:val="auto"/>
                <w:szCs w:val="21"/>
              </w:rPr>
            </w:pPr>
            <w:r>
              <w:rPr>
                <w:rFonts w:hint="eastAsia" w:ascii="宋体" w:hAnsi="宋体" w:cs="仿宋_GB2312"/>
                <w:color w:val="auto"/>
                <w:szCs w:val="21"/>
                <w:lang w:val="en-US" w:eastAsia="zh-CN"/>
              </w:rPr>
              <w:t>10</w:t>
            </w:r>
            <w:r>
              <w:rPr>
                <w:rFonts w:hint="eastAsia" w:ascii="宋体" w:hAnsi="宋体" w:cs="仿宋_GB2312"/>
                <w:color w:val="auto"/>
                <w:szCs w:val="21"/>
              </w:rPr>
              <w:t>分</w:t>
            </w:r>
          </w:p>
        </w:tc>
        <w:tc>
          <w:tcPr>
            <w:tcW w:w="3209" w:type="pct"/>
            <w:vAlign w:val="center"/>
          </w:tcPr>
          <w:p w14:paraId="56713C63">
            <w:pPr>
              <w:widowControl w:val="0"/>
              <w:spacing w:line="360" w:lineRule="exact"/>
              <w:jc w:val="left"/>
              <w:textAlignment w:val="auto"/>
              <w:rPr>
                <w:rFonts w:ascii="宋体" w:hAnsi="宋体" w:cs="宋体"/>
                <w:color w:val="auto"/>
              </w:rPr>
            </w:pPr>
            <w:r>
              <w:rPr>
                <w:rFonts w:hint="eastAsia" w:ascii="宋体" w:hAnsi="宋体" w:cs="宋体"/>
                <w:color w:val="auto"/>
              </w:rPr>
              <w:t xml:space="preserve">根据提供的依据应急方案服务内容、维护人员和服务机构等情况，以及应急服务承诺的可行性、完整性以及应急服务承诺落实的保障措施，（包括但不限于应急计划及故障解决措施等内容）进行对比评审进行综合评审： </w:t>
            </w:r>
          </w:p>
          <w:p w14:paraId="28132CA4">
            <w:pPr>
              <w:widowControl w:val="0"/>
              <w:spacing w:line="360" w:lineRule="exact"/>
              <w:jc w:val="left"/>
              <w:textAlignment w:val="auto"/>
              <w:rPr>
                <w:rFonts w:ascii="宋体" w:hAnsi="宋体" w:cs="宋体"/>
                <w:color w:val="auto"/>
              </w:rPr>
            </w:pPr>
            <w:r>
              <w:rPr>
                <w:rFonts w:hint="eastAsia" w:ascii="宋体" w:hAnsi="宋体" w:cs="宋体"/>
                <w:color w:val="auto"/>
              </w:rPr>
              <w:t>1、应急预案涵盖风险评估、应急组织架构、具体应急措施等内容且完整详细、具有针对性和可行性的得</w:t>
            </w:r>
            <w:r>
              <w:rPr>
                <w:rFonts w:hint="eastAsia" w:ascii="宋体" w:hAnsi="宋体" w:cs="宋体"/>
                <w:color w:val="auto"/>
                <w:lang w:val="en-US" w:eastAsia="zh-CN"/>
              </w:rPr>
              <w:t>10</w:t>
            </w:r>
            <w:r>
              <w:rPr>
                <w:rFonts w:hint="eastAsia" w:ascii="宋体" w:hAnsi="宋体" w:cs="宋体"/>
                <w:color w:val="auto"/>
              </w:rPr>
              <w:t xml:space="preserve">分； </w:t>
            </w:r>
          </w:p>
          <w:p w14:paraId="230B81F2">
            <w:pPr>
              <w:widowControl w:val="0"/>
              <w:spacing w:line="360" w:lineRule="exact"/>
              <w:jc w:val="left"/>
              <w:textAlignment w:val="auto"/>
              <w:rPr>
                <w:rFonts w:ascii="宋体" w:hAnsi="宋体" w:cs="宋体"/>
                <w:color w:val="auto"/>
              </w:rPr>
            </w:pPr>
            <w:r>
              <w:rPr>
                <w:rFonts w:hint="eastAsia" w:ascii="宋体" w:hAnsi="宋体" w:cs="宋体"/>
                <w:color w:val="auto"/>
              </w:rPr>
              <w:t>2、应急预案涵盖风险评估、应急组织架构、具体应急措施等内容、具有可行性的得</w:t>
            </w:r>
            <w:r>
              <w:rPr>
                <w:rFonts w:hint="eastAsia" w:ascii="宋体" w:hAnsi="宋体" w:cs="宋体"/>
                <w:color w:val="auto"/>
                <w:lang w:val="en-US" w:eastAsia="zh-CN"/>
              </w:rPr>
              <w:t>8</w:t>
            </w:r>
            <w:r>
              <w:rPr>
                <w:rFonts w:hint="eastAsia" w:ascii="宋体" w:hAnsi="宋体" w:cs="宋体"/>
                <w:color w:val="auto"/>
              </w:rPr>
              <w:t xml:space="preserve">分； </w:t>
            </w:r>
          </w:p>
          <w:p w14:paraId="7E4E0D9B">
            <w:pPr>
              <w:widowControl w:val="0"/>
              <w:spacing w:line="360" w:lineRule="exact"/>
              <w:jc w:val="left"/>
              <w:textAlignment w:val="auto"/>
              <w:rPr>
                <w:rFonts w:ascii="宋体" w:hAnsi="宋体" w:cs="宋体"/>
                <w:color w:val="auto"/>
              </w:rPr>
            </w:pPr>
            <w:r>
              <w:rPr>
                <w:rFonts w:hint="eastAsia" w:ascii="宋体" w:hAnsi="宋体" w:cs="宋体"/>
                <w:color w:val="auto"/>
                <w:szCs w:val="21"/>
              </w:rPr>
              <w:t>3、</w:t>
            </w:r>
            <w:r>
              <w:rPr>
                <w:rFonts w:hint="eastAsia" w:ascii="宋体" w:hAnsi="宋体" w:cs="宋体"/>
                <w:color w:val="auto"/>
              </w:rPr>
              <w:t>应急预案</w:t>
            </w:r>
            <w:r>
              <w:rPr>
                <w:rFonts w:hint="eastAsia" w:ascii="宋体" w:hAnsi="宋体" w:cs="宋体"/>
                <w:color w:val="auto"/>
                <w:szCs w:val="21"/>
              </w:rPr>
              <w:t>内容简单有待补充，</w:t>
            </w:r>
            <w:r>
              <w:rPr>
                <w:rFonts w:hint="eastAsia" w:ascii="宋体" w:hAnsi="宋体" w:cs="宋体"/>
                <w:color w:val="auto"/>
              </w:rPr>
              <w:t>涵盖内容</w:t>
            </w:r>
            <w:r>
              <w:rPr>
                <w:rFonts w:hint="eastAsia" w:ascii="宋体" w:hAnsi="宋体" w:cs="宋体"/>
                <w:color w:val="auto"/>
                <w:szCs w:val="21"/>
              </w:rPr>
              <w:t>能满足项目需求的得</w:t>
            </w:r>
            <w:r>
              <w:rPr>
                <w:rFonts w:hint="eastAsia" w:ascii="宋体" w:hAnsi="宋体" w:cs="宋体"/>
                <w:color w:val="auto"/>
                <w:szCs w:val="21"/>
                <w:lang w:val="en-US" w:eastAsia="zh-CN"/>
              </w:rPr>
              <w:t>6</w:t>
            </w:r>
            <w:r>
              <w:rPr>
                <w:rFonts w:hint="eastAsia" w:ascii="宋体" w:hAnsi="宋体" w:cs="宋体"/>
                <w:color w:val="auto"/>
                <w:szCs w:val="21"/>
              </w:rPr>
              <w:t xml:space="preserve">分； </w:t>
            </w:r>
          </w:p>
          <w:p w14:paraId="259EE8D0">
            <w:pPr>
              <w:widowControl w:val="0"/>
              <w:spacing w:line="360" w:lineRule="exact"/>
              <w:jc w:val="left"/>
              <w:textAlignment w:val="auto"/>
              <w:rPr>
                <w:rFonts w:ascii="宋体" w:hAnsi="宋体" w:cs="宋体"/>
                <w:color w:val="auto"/>
              </w:rPr>
            </w:pPr>
            <w:r>
              <w:rPr>
                <w:rFonts w:hint="eastAsia" w:ascii="宋体" w:hAnsi="宋体" w:cs="宋体"/>
                <w:color w:val="auto"/>
              </w:rPr>
              <w:t>4、应急预案内容不全、空洞，无明显逻辑错误的得</w:t>
            </w:r>
            <w:r>
              <w:rPr>
                <w:rFonts w:hint="eastAsia" w:ascii="宋体" w:hAnsi="宋体" w:cs="宋体"/>
                <w:color w:val="auto"/>
                <w:lang w:val="en-US" w:eastAsia="zh-CN"/>
              </w:rPr>
              <w:t>4</w:t>
            </w:r>
            <w:r>
              <w:rPr>
                <w:rFonts w:hint="eastAsia" w:ascii="宋体" w:hAnsi="宋体" w:cs="宋体"/>
                <w:color w:val="auto"/>
              </w:rPr>
              <w:t xml:space="preserve">分； </w:t>
            </w:r>
          </w:p>
          <w:p w14:paraId="36B6FE0D">
            <w:pPr>
              <w:widowControl w:val="0"/>
              <w:spacing w:line="360" w:lineRule="exact"/>
              <w:jc w:val="left"/>
              <w:textAlignment w:val="auto"/>
              <w:rPr>
                <w:rFonts w:ascii="宋体" w:hAnsi="宋体" w:cs="宋体"/>
                <w:color w:val="auto"/>
              </w:rPr>
            </w:pPr>
            <w:r>
              <w:rPr>
                <w:rFonts w:hint="eastAsia" w:ascii="宋体" w:hAnsi="宋体" w:cs="宋体"/>
                <w:color w:val="auto"/>
              </w:rPr>
              <w:t xml:space="preserve">5、未提供相关内容的不得分。 </w:t>
            </w:r>
          </w:p>
        </w:tc>
        <w:tc>
          <w:tcPr>
            <w:tcW w:w="689" w:type="pct"/>
            <w:vAlign w:val="center"/>
          </w:tcPr>
          <w:p w14:paraId="7352F048">
            <w:pPr>
              <w:spacing w:line="500" w:lineRule="exact"/>
              <w:jc w:val="center"/>
              <w:rPr>
                <w:rFonts w:ascii="宋体" w:hAnsi="宋体" w:cs="宋体"/>
                <w:color w:val="auto"/>
                <w:szCs w:val="21"/>
              </w:rPr>
            </w:pPr>
            <w:r>
              <w:rPr>
                <w:rFonts w:hint="eastAsia" w:ascii="宋体" w:hAnsi="宋体" w:cs="宋体"/>
                <w:color w:val="auto"/>
                <w:szCs w:val="21"/>
              </w:rPr>
              <w:t>评审核验标书中的文件：能充分有效反映出本评分项内容。</w:t>
            </w:r>
          </w:p>
        </w:tc>
      </w:tr>
      <w:tr w14:paraId="2FB6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49" w:type="pct"/>
            <w:vAlign w:val="center"/>
          </w:tcPr>
          <w:p w14:paraId="2397BACE">
            <w:pPr>
              <w:spacing w:line="5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465" w:type="pct"/>
            <w:vAlign w:val="center"/>
          </w:tcPr>
          <w:p w14:paraId="604FCF0C">
            <w:pPr>
              <w:adjustRightInd w:val="0"/>
              <w:snapToGrid w:val="0"/>
              <w:spacing w:line="400" w:lineRule="exact"/>
              <w:jc w:val="center"/>
              <w:rPr>
                <w:rFonts w:hint="eastAsia" w:ascii="宋体" w:hAnsi="宋体"/>
                <w:color w:val="auto"/>
                <w:szCs w:val="21"/>
              </w:rPr>
            </w:pPr>
            <w:r>
              <w:rPr>
                <w:rFonts w:hint="eastAsia" w:ascii="宋体" w:hAnsi="宋体"/>
                <w:color w:val="auto"/>
                <w:szCs w:val="21"/>
              </w:rPr>
              <w:t>售后管理体</w:t>
            </w:r>
          </w:p>
          <w:p w14:paraId="05FF575D">
            <w:pPr>
              <w:adjustRightInd w:val="0"/>
              <w:snapToGrid w:val="0"/>
              <w:spacing w:line="400" w:lineRule="exact"/>
              <w:jc w:val="center"/>
              <w:rPr>
                <w:rFonts w:hint="eastAsia" w:ascii="宋体" w:hAnsi="宋体"/>
                <w:color w:val="auto"/>
                <w:szCs w:val="21"/>
              </w:rPr>
            </w:pPr>
            <w:r>
              <w:rPr>
                <w:rFonts w:hint="eastAsia" w:ascii="宋体" w:hAnsi="宋体"/>
                <w:color w:val="auto"/>
                <w:szCs w:val="21"/>
              </w:rPr>
              <w:t>系方案</w:t>
            </w:r>
          </w:p>
          <w:p w14:paraId="268D3210">
            <w:pPr>
              <w:adjustRightInd w:val="0"/>
              <w:snapToGrid w:val="0"/>
              <w:spacing w:line="400" w:lineRule="exact"/>
              <w:jc w:val="center"/>
              <w:rPr>
                <w:rFonts w:hint="eastAsia" w:ascii="宋体" w:hAnsi="宋体"/>
                <w:color w:val="auto"/>
                <w:szCs w:val="21"/>
              </w:rPr>
            </w:pPr>
          </w:p>
        </w:tc>
        <w:tc>
          <w:tcPr>
            <w:tcW w:w="385" w:type="pct"/>
            <w:vAlign w:val="center"/>
          </w:tcPr>
          <w:p w14:paraId="1207ACC1">
            <w:pPr>
              <w:spacing w:line="500" w:lineRule="exact"/>
              <w:ind w:firstLine="28"/>
              <w:jc w:val="center"/>
              <w:rPr>
                <w:rFonts w:hint="default" w:ascii="宋体" w:hAnsi="宋体" w:cs="仿宋_GB2312"/>
                <w:color w:val="auto"/>
                <w:szCs w:val="21"/>
                <w:lang w:val="en-US" w:eastAsia="zh-CN"/>
              </w:rPr>
            </w:pPr>
            <w:r>
              <w:rPr>
                <w:rFonts w:hint="eastAsia" w:ascii="宋体" w:hAnsi="宋体" w:cs="仿宋_GB2312"/>
                <w:color w:val="auto"/>
                <w:szCs w:val="21"/>
                <w:lang w:val="en-US" w:eastAsia="zh-CN"/>
              </w:rPr>
              <w:t>10</w:t>
            </w:r>
          </w:p>
        </w:tc>
        <w:tc>
          <w:tcPr>
            <w:tcW w:w="3209" w:type="pct"/>
            <w:vAlign w:val="center"/>
          </w:tcPr>
          <w:p w14:paraId="385EAEE4">
            <w:pPr>
              <w:widowControl w:val="0"/>
              <w:spacing w:line="360" w:lineRule="exact"/>
              <w:jc w:val="left"/>
              <w:textAlignment w:val="auto"/>
              <w:rPr>
                <w:rFonts w:hint="eastAsia" w:ascii="宋体" w:hAnsi="宋体" w:cs="宋体"/>
                <w:color w:val="auto"/>
              </w:rPr>
            </w:pPr>
            <w:r>
              <w:rPr>
                <w:rFonts w:hint="eastAsia" w:ascii="宋体" w:hAnsi="宋体" w:cs="宋体"/>
                <w:color w:val="auto"/>
              </w:rPr>
              <w:t>对供应商提供的关于本项目的售后管理体系方案进行评审。</w:t>
            </w:r>
          </w:p>
          <w:p w14:paraId="2033C729">
            <w:pPr>
              <w:widowControl w:val="0"/>
              <w:spacing w:line="360" w:lineRule="exact"/>
              <w:jc w:val="left"/>
              <w:textAlignment w:val="auto"/>
              <w:rPr>
                <w:rFonts w:hint="eastAsia" w:ascii="宋体" w:hAnsi="宋体" w:cs="宋体"/>
                <w:color w:val="auto"/>
              </w:rPr>
            </w:pPr>
            <w:r>
              <w:rPr>
                <w:rFonts w:hint="eastAsia" w:ascii="宋体" w:hAnsi="宋体" w:cs="宋体"/>
                <w:color w:val="auto"/>
              </w:rPr>
              <w:t xml:space="preserve">（1）方案内容明确，整体结构完整，服务安排可行，具有针对性，能够完全满足或优于项目需求，得 </w:t>
            </w:r>
            <w:r>
              <w:rPr>
                <w:rFonts w:hint="eastAsia" w:ascii="宋体" w:hAnsi="宋体" w:cs="宋体"/>
                <w:color w:val="auto"/>
                <w:lang w:val="en-US" w:eastAsia="zh-CN"/>
              </w:rPr>
              <w:t>10</w:t>
            </w:r>
            <w:r>
              <w:rPr>
                <w:rFonts w:hint="eastAsia" w:ascii="宋体" w:hAnsi="宋体" w:cs="宋体"/>
                <w:color w:val="auto"/>
              </w:rPr>
              <w:t>分；</w:t>
            </w:r>
          </w:p>
          <w:p w14:paraId="7C8BB7C8">
            <w:pPr>
              <w:widowControl w:val="0"/>
              <w:spacing w:line="360" w:lineRule="exact"/>
              <w:jc w:val="left"/>
              <w:textAlignment w:val="auto"/>
              <w:rPr>
                <w:rFonts w:hint="eastAsia" w:ascii="宋体" w:hAnsi="宋体" w:cs="宋体"/>
                <w:color w:val="auto"/>
              </w:rPr>
            </w:pPr>
            <w:r>
              <w:rPr>
                <w:rFonts w:hint="eastAsia" w:ascii="宋体" w:hAnsi="宋体" w:cs="宋体"/>
                <w:color w:val="auto"/>
              </w:rPr>
              <w:t>（2）方案内容完整，服务安排可行，适合本项目需求，得</w:t>
            </w:r>
            <w:r>
              <w:rPr>
                <w:rFonts w:hint="eastAsia" w:ascii="宋体" w:hAnsi="宋体" w:cs="宋体"/>
                <w:color w:val="auto"/>
                <w:lang w:val="en-US" w:eastAsia="zh-CN"/>
              </w:rPr>
              <w:t>8</w:t>
            </w:r>
            <w:r>
              <w:rPr>
                <w:rFonts w:hint="eastAsia" w:ascii="宋体" w:hAnsi="宋体" w:cs="宋体"/>
                <w:color w:val="auto"/>
              </w:rPr>
              <w:t xml:space="preserve"> 分；</w:t>
            </w:r>
          </w:p>
          <w:p w14:paraId="562ED4A8">
            <w:pPr>
              <w:widowControl w:val="0"/>
              <w:spacing w:line="360" w:lineRule="exact"/>
              <w:jc w:val="left"/>
              <w:textAlignment w:val="auto"/>
              <w:rPr>
                <w:rFonts w:hint="eastAsia" w:ascii="宋体" w:hAnsi="宋体" w:cs="宋体"/>
                <w:color w:val="auto"/>
              </w:rPr>
            </w:pPr>
            <w:r>
              <w:rPr>
                <w:rFonts w:hint="eastAsia" w:ascii="宋体" w:hAnsi="宋体" w:cs="宋体"/>
                <w:color w:val="auto"/>
              </w:rPr>
              <w:t>（3）售后管理体系方案内容存在不足，有待完善得</w:t>
            </w:r>
            <w:r>
              <w:rPr>
                <w:rFonts w:hint="eastAsia" w:ascii="宋体" w:hAnsi="宋体" w:cs="宋体"/>
                <w:color w:val="auto"/>
                <w:lang w:val="en-US" w:eastAsia="zh-CN"/>
              </w:rPr>
              <w:t>6</w:t>
            </w:r>
            <w:r>
              <w:rPr>
                <w:rFonts w:hint="eastAsia" w:ascii="宋体" w:hAnsi="宋体" w:cs="宋体"/>
                <w:color w:val="auto"/>
              </w:rPr>
              <w:t xml:space="preserve"> 分；</w:t>
            </w:r>
          </w:p>
          <w:p w14:paraId="534B02E0">
            <w:pPr>
              <w:widowControl w:val="0"/>
              <w:spacing w:line="360" w:lineRule="exact"/>
              <w:jc w:val="left"/>
              <w:textAlignment w:val="auto"/>
              <w:rPr>
                <w:rFonts w:hint="eastAsia" w:ascii="宋体" w:hAnsi="宋体" w:cs="宋体"/>
                <w:color w:val="auto"/>
                <w:lang w:val="en-US" w:eastAsia="zh-CN"/>
              </w:rPr>
            </w:pPr>
            <w:r>
              <w:rPr>
                <w:rFonts w:hint="eastAsia" w:ascii="宋体" w:hAnsi="宋体" w:cs="宋体"/>
                <w:color w:val="auto"/>
              </w:rPr>
              <w:t>（4）售后管理体系方案</w:t>
            </w:r>
            <w:r>
              <w:rPr>
                <w:rFonts w:hint="eastAsia" w:ascii="宋体" w:hAnsi="宋体" w:cs="宋体"/>
                <w:color w:val="auto"/>
                <w:lang w:val="en-US" w:eastAsia="zh-CN"/>
              </w:rPr>
              <w:t>合格的得4分；</w:t>
            </w:r>
          </w:p>
          <w:p w14:paraId="09843CEE">
            <w:pPr>
              <w:widowControl w:val="0"/>
              <w:spacing w:line="360" w:lineRule="exact"/>
              <w:jc w:val="left"/>
              <w:textAlignment w:val="auto"/>
              <w:rPr>
                <w:rFonts w:hint="eastAsia" w:ascii="宋体" w:hAnsi="宋体" w:cs="宋体"/>
                <w:color w:val="auto"/>
              </w:rPr>
            </w:pPr>
            <w:r>
              <w:rPr>
                <w:rFonts w:hint="eastAsia" w:ascii="宋体" w:hAnsi="宋体" w:cs="宋体"/>
                <w:color w:val="auto"/>
                <w:lang w:val="en-US" w:eastAsia="zh-CN"/>
              </w:rPr>
              <w:t>（5）</w:t>
            </w:r>
            <w:r>
              <w:rPr>
                <w:rFonts w:hint="eastAsia" w:ascii="宋体" w:hAnsi="宋体" w:cs="宋体"/>
                <w:color w:val="auto"/>
              </w:rPr>
              <w:t>未提供的不得分。</w:t>
            </w:r>
          </w:p>
        </w:tc>
        <w:tc>
          <w:tcPr>
            <w:tcW w:w="689" w:type="pct"/>
            <w:vAlign w:val="center"/>
          </w:tcPr>
          <w:p w14:paraId="5E8C2289">
            <w:pPr>
              <w:spacing w:line="500" w:lineRule="exact"/>
              <w:jc w:val="center"/>
              <w:rPr>
                <w:rFonts w:hint="eastAsia" w:ascii="宋体" w:hAnsi="宋体" w:cs="宋体"/>
                <w:color w:val="auto"/>
                <w:szCs w:val="21"/>
              </w:rPr>
            </w:pPr>
            <w:r>
              <w:rPr>
                <w:rFonts w:hint="eastAsia" w:ascii="宋体" w:hAnsi="宋体" w:cs="宋体"/>
                <w:color w:val="auto"/>
                <w:szCs w:val="21"/>
              </w:rPr>
              <w:t>评审核验标书中的文件：能充分有效反映出本评分项内容。</w:t>
            </w:r>
          </w:p>
        </w:tc>
      </w:tr>
    </w:tbl>
    <w:p w14:paraId="05EDC0F2">
      <w:pPr>
        <w:spacing w:line="440" w:lineRule="exact"/>
        <w:ind w:right="-953" w:rightChars="-454" w:firstLine="422" w:firstLineChars="200"/>
        <w:rPr>
          <w:rFonts w:ascii="宋体" w:hAnsi="宋体" w:cs="宋体"/>
          <w:b/>
          <w:bCs/>
          <w:color w:val="auto"/>
          <w:szCs w:val="21"/>
        </w:rPr>
      </w:pPr>
      <w:r>
        <w:rPr>
          <w:rFonts w:hint="eastAsia" w:ascii="宋体" w:hAnsi="宋体" w:cs="宋体"/>
          <w:b/>
          <w:bCs/>
          <w:color w:val="auto"/>
          <w:szCs w:val="21"/>
        </w:rPr>
        <w:t>注：1、各评委得分的平均值为供应商技术标得分。分值保留两位小数点，第三位四舍五入。</w:t>
      </w:r>
    </w:p>
    <w:p w14:paraId="2EC0C182">
      <w:pPr>
        <w:spacing w:line="440" w:lineRule="exact"/>
        <w:ind w:firstLine="422" w:firstLineChars="200"/>
        <w:rPr>
          <w:rFonts w:ascii="宋体" w:hAnsi="宋体" w:cs="宋体"/>
          <w:b/>
          <w:color w:val="auto"/>
          <w:szCs w:val="21"/>
        </w:rPr>
      </w:pPr>
      <w:r>
        <w:rPr>
          <w:rFonts w:hint="eastAsia" w:ascii="宋体" w:hAnsi="宋体" w:cs="宋体"/>
          <w:b/>
          <w:color w:val="auto"/>
          <w:szCs w:val="21"/>
        </w:rPr>
        <w:t>6.3商务标评审细则（</w:t>
      </w:r>
      <w:r>
        <w:rPr>
          <w:rFonts w:hint="eastAsia" w:ascii="宋体" w:hAnsi="宋体" w:cs="宋体"/>
          <w:b/>
          <w:color w:val="auto"/>
          <w:szCs w:val="21"/>
          <w:lang w:val="en-US" w:eastAsia="zh-CN"/>
        </w:rPr>
        <w:t>30</w:t>
      </w:r>
      <w:r>
        <w:rPr>
          <w:rFonts w:hint="eastAsia" w:ascii="宋体" w:hAnsi="宋体" w:cs="宋体"/>
          <w:b/>
          <w:color w:val="auto"/>
          <w:szCs w:val="21"/>
        </w:rPr>
        <w:t>分）</w:t>
      </w:r>
    </w:p>
    <w:tbl>
      <w:tblPr>
        <w:tblStyle w:val="4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230"/>
        <w:gridCol w:w="855"/>
        <w:gridCol w:w="6075"/>
      </w:tblGrid>
      <w:tr w14:paraId="2F62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73" w:type="dxa"/>
            <w:vAlign w:val="center"/>
          </w:tcPr>
          <w:p w14:paraId="1D27C749">
            <w:pPr>
              <w:spacing w:line="500" w:lineRule="exact"/>
              <w:jc w:val="center"/>
              <w:rPr>
                <w:rFonts w:ascii="宋体" w:hAnsi="宋体" w:cs="宋体"/>
                <w:color w:val="auto"/>
                <w:szCs w:val="21"/>
              </w:rPr>
            </w:pPr>
            <w:r>
              <w:rPr>
                <w:rFonts w:hint="eastAsia" w:ascii="宋体" w:hAnsi="宋体" w:cs="宋体"/>
                <w:color w:val="auto"/>
                <w:szCs w:val="21"/>
              </w:rPr>
              <w:t>序号</w:t>
            </w:r>
          </w:p>
        </w:tc>
        <w:tc>
          <w:tcPr>
            <w:tcW w:w="1230" w:type="dxa"/>
            <w:vAlign w:val="center"/>
          </w:tcPr>
          <w:p w14:paraId="5F340824">
            <w:pPr>
              <w:spacing w:line="500" w:lineRule="exact"/>
              <w:rPr>
                <w:rFonts w:ascii="宋体" w:hAnsi="宋体" w:cs="宋体"/>
                <w:color w:val="auto"/>
                <w:szCs w:val="21"/>
              </w:rPr>
            </w:pPr>
            <w:r>
              <w:rPr>
                <w:rFonts w:hint="eastAsia" w:ascii="宋体" w:hAnsi="宋体" w:cs="宋体"/>
                <w:color w:val="auto"/>
                <w:szCs w:val="21"/>
              </w:rPr>
              <w:t>评分因素</w:t>
            </w:r>
          </w:p>
        </w:tc>
        <w:tc>
          <w:tcPr>
            <w:tcW w:w="855" w:type="dxa"/>
            <w:vAlign w:val="center"/>
          </w:tcPr>
          <w:p w14:paraId="106FA5BF">
            <w:pPr>
              <w:spacing w:line="500" w:lineRule="exact"/>
              <w:rPr>
                <w:rFonts w:ascii="宋体" w:hAnsi="宋体" w:cs="宋体"/>
                <w:color w:val="auto"/>
                <w:szCs w:val="21"/>
              </w:rPr>
            </w:pPr>
            <w:r>
              <w:rPr>
                <w:rFonts w:hint="eastAsia" w:ascii="宋体" w:hAnsi="宋体" w:cs="宋体"/>
                <w:color w:val="auto"/>
                <w:szCs w:val="21"/>
              </w:rPr>
              <w:t>分值</w:t>
            </w:r>
          </w:p>
        </w:tc>
        <w:tc>
          <w:tcPr>
            <w:tcW w:w="6075" w:type="dxa"/>
            <w:vAlign w:val="center"/>
          </w:tcPr>
          <w:p w14:paraId="3A6FE1CA">
            <w:pPr>
              <w:spacing w:line="500" w:lineRule="exact"/>
              <w:jc w:val="center"/>
              <w:rPr>
                <w:rFonts w:ascii="宋体" w:hAnsi="宋体" w:cs="宋体"/>
                <w:color w:val="auto"/>
                <w:szCs w:val="21"/>
              </w:rPr>
            </w:pPr>
            <w:r>
              <w:rPr>
                <w:rFonts w:hint="eastAsia" w:ascii="宋体" w:hAnsi="宋体" w:cs="宋体"/>
                <w:color w:val="auto"/>
                <w:szCs w:val="21"/>
              </w:rPr>
              <w:t>评审细则</w:t>
            </w:r>
          </w:p>
        </w:tc>
      </w:tr>
      <w:tr w14:paraId="340F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73" w:type="dxa"/>
            <w:vAlign w:val="center"/>
          </w:tcPr>
          <w:p w14:paraId="23F37DB0">
            <w:pPr>
              <w:spacing w:line="500" w:lineRule="exact"/>
              <w:jc w:val="center"/>
              <w:rPr>
                <w:rFonts w:ascii="宋体" w:hAnsi="宋体" w:cs="宋体"/>
                <w:color w:val="auto"/>
                <w:szCs w:val="21"/>
              </w:rPr>
            </w:pPr>
            <w:r>
              <w:rPr>
                <w:rFonts w:hint="eastAsia" w:ascii="宋体" w:hAnsi="宋体" w:cs="宋体"/>
                <w:color w:val="auto"/>
                <w:szCs w:val="21"/>
              </w:rPr>
              <w:t>1</w:t>
            </w:r>
          </w:p>
        </w:tc>
        <w:tc>
          <w:tcPr>
            <w:tcW w:w="1230" w:type="dxa"/>
            <w:vAlign w:val="center"/>
          </w:tcPr>
          <w:p w14:paraId="191E9A7D">
            <w:pPr>
              <w:spacing w:line="500" w:lineRule="exact"/>
              <w:jc w:val="center"/>
              <w:rPr>
                <w:rFonts w:ascii="宋体" w:hAnsi="宋体" w:cs="宋体"/>
                <w:color w:val="auto"/>
                <w:szCs w:val="21"/>
              </w:rPr>
            </w:pPr>
            <w:r>
              <w:rPr>
                <w:rFonts w:hint="eastAsia" w:ascii="宋体" w:hAnsi="宋体" w:cs="宋体"/>
                <w:color w:val="auto"/>
                <w:szCs w:val="21"/>
              </w:rPr>
              <w:t>报价</w:t>
            </w:r>
          </w:p>
        </w:tc>
        <w:tc>
          <w:tcPr>
            <w:tcW w:w="855" w:type="dxa"/>
            <w:vAlign w:val="center"/>
          </w:tcPr>
          <w:p w14:paraId="28B418CB">
            <w:pPr>
              <w:adjustRightInd w:val="0"/>
              <w:snapToGrid w:val="0"/>
              <w:spacing w:line="360" w:lineRule="auto"/>
              <w:jc w:val="center"/>
              <w:rPr>
                <w:rFonts w:hAnsi="宋体"/>
                <w:bCs/>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0分</w:t>
            </w:r>
          </w:p>
        </w:tc>
        <w:tc>
          <w:tcPr>
            <w:tcW w:w="6075" w:type="dxa"/>
            <w:vAlign w:val="center"/>
          </w:tcPr>
          <w:p w14:paraId="6F0E4394">
            <w:pPr>
              <w:tabs>
                <w:tab w:val="left" w:pos="1080"/>
              </w:tabs>
              <w:spacing w:line="360" w:lineRule="exact"/>
              <w:jc w:val="left"/>
              <w:rPr>
                <w:rFonts w:ascii="宋体" w:hAnsi="宋体"/>
                <w:color w:val="auto"/>
                <w:szCs w:val="21"/>
              </w:rPr>
            </w:pPr>
            <w:r>
              <w:rPr>
                <w:rFonts w:hint="eastAsia" w:ascii="宋体" w:hAnsi="宋体"/>
                <w:color w:val="auto"/>
                <w:szCs w:val="21"/>
              </w:rPr>
              <w:t>采购人设置投标报价最高限价，各投标人有效报价不得高于最高限价，否则，其投标文件按无效标处理。</w:t>
            </w:r>
          </w:p>
          <w:p w14:paraId="28E75A85">
            <w:pPr>
              <w:tabs>
                <w:tab w:val="left" w:pos="1080"/>
              </w:tabs>
              <w:spacing w:line="360" w:lineRule="exact"/>
              <w:jc w:val="left"/>
              <w:rPr>
                <w:rFonts w:ascii="宋体" w:hAnsi="宋体"/>
                <w:color w:val="auto"/>
                <w:szCs w:val="21"/>
              </w:rPr>
            </w:pPr>
            <w:r>
              <w:rPr>
                <w:rFonts w:hint="eastAsia" w:ascii="宋体" w:hAnsi="宋体"/>
                <w:color w:val="auto"/>
                <w:szCs w:val="21"/>
              </w:rPr>
              <w:t>1.评标基准价=所有效投标人的最低报价；其得分为满分；</w:t>
            </w:r>
          </w:p>
          <w:p w14:paraId="609AC489">
            <w:pPr>
              <w:tabs>
                <w:tab w:val="left" w:pos="1080"/>
              </w:tabs>
              <w:spacing w:line="360" w:lineRule="exact"/>
              <w:jc w:val="left"/>
              <w:rPr>
                <w:rFonts w:ascii="宋体" w:hAnsi="宋体"/>
                <w:color w:val="auto"/>
                <w:szCs w:val="21"/>
              </w:rPr>
            </w:pPr>
            <w:r>
              <w:rPr>
                <w:rFonts w:hint="eastAsia" w:ascii="宋体" w:hAnsi="宋体"/>
                <w:color w:val="auto"/>
                <w:szCs w:val="21"/>
              </w:rPr>
              <w:t>2.其它报价得分=评标基准价/投标报价*</w:t>
            </w:r>
            <w:r>
              <w:rPr>
                <w:rFonts w:hint="eastAsia" w:ascii="宋体" w:hAnsi="宋体"/>
                <w:color w:val="auto"/>
                <w:szCs w:val="21"/>
                <w:lang w:val="en-US" w:eastAsia="zh-CN"/>
              </w:rPr>
              <w:t>3</w:t>
            </w:r>
            <w:r>
              <w:rPr>
                <w:rFonts w:hint="eastAsia" w:ascii="宋体" w:hAnsi="宋体"/>
                <w:color w:val="auto"/>
                <w:szCs w:val="21"/>
              </w:rPr>
              <w:t>0分；</w:t>
            </w:r>
          </w:p>
          <w:p w14:paraId="4F0FE8AC">
            <w:pPr>
              <w:tabs>
                <w:tab w:val="left" w:pos="1080"/>
              </w:tabs>
              <w:spacing w:line="360" w:lineRule="exact"/>
              <w:jc w:val="left"/>
              <w:rPr>
                <w:rFonts w:ascii="宋体" w:hAnsi="宋体"/>
                <w:color w:val="auto"/>
                <w:szCs w:val="21"/>
              </w:rPr>
            </w:pPr>
            <w:r>
              <w:rPr>
                <w:rFonts w:hint="eastAsia" w:ascii="宋体" w:hAnsi="宋体"/>
                <w:color w:val="auto"/>
                <w:szCs w:val="21"/>
              </w:rPr>
              <w:t>3.本项分值由评标委员会负责组织计算。</w:t>
            </w:r>
          </w:p>
        </w:tc>
      </w:tr>
    </w:tbl>
    <w:p w14:paraId="0D01D8E2">
      <w:pPr>
        <w:widowControl w:val="0"/>
        <w:spacing w:line="440" w:lineRule="exact"/>
        <w:ind w:firstLine="422" w:firstLineChars="200"/>
        <w:jc w:val="left"/>
        <w:textAlignment w:val="auto"/>
        <w:rPr>
          <w:rFonts w:ascii="宋体" w:hAnsi="宋体" w:cs="宋体"/>
          <w:b/>
          <w:bCs/>
          <w:color w:val="auto"/>
          <w:kern w:val="2"/>
          <w:szCs w:val="21"/>
        </w:rPr>
      </w:pPr>
      <w:r>
        <w:rPr>
          <w:rFonts w:hint="eastAsia" w:ascii="宋体" w:hAnsi="宋体" w:cs="宋体"/>
          <w:b/>
          <w:bCs/>
          <w:color w:val="auto"/>
          <w:kern w:val="2"/>
          <w:szCs w:val="21"/>
        </w:rPr>
        <w:t>特别说明：</w:t>
      </w:r>
    </w:p>
    <w:p w14:paraId="04E8AC37">
      <w:pPr>
        <w:spacing w:line="440" w:lineRule="exact"/>
        <w:ind w:firstLine="422" w:firstLineChars="200"/>
        <w:jc w:val="left"/>
        <w:rPr>
          <w:rFonts w:ascii="宋体" w:hAnsi="宋体" w:cs="宋体"/>
          <w:b/>
          <w:bCs/>
          <w:color w:val="auto"/>
          <w:kern w:val="2"/>
          <w:szCs w:val="21"/>
        </w:rPr>
      </w:pPr>
      <w:r>
        <w:rPr>
          <w:rFonts w:hint="eastAsia" w:ascii="宋体" w:hAnsi="宋体" w:cs="宋体"/>
          <w:b/>
          <w:bCs/>
          <w:color w:val="auto"/>
          <w:kern w:val="2"/>
          <w:szCs w:val="21"/>
        </w:rPr>
        <w:t>1.评标专家检验投标文件的上述材料，如果由于投标人自身原因导致评标专家无法查看并  检验投标文件中以上相关资料的，后果由投标人自行承担。</w:t>
      </w:r>
    </w:p>
    <w:p w14:paraId="04D2CF15">
      <w:pPr>
        <w:spacing w:line="440" w:lineRule="exact"/>
        <w:ind w:firstLine="422" w:firstLineChars="200"/>
        <w:jc w:val="left"/>
        <w:rPr>
          <w:rFonts w:ascii="宋体" w:hAnsi="宋体" w:cs="宋体"/>
          <w:b/>
          <w:bCs/>
          <w:color w:val="auto"/>
          <w:kern w:val="2"/>
          <w:szCs w:val="21"/>
        </w:rPr>
      </w:pPr>
      <w:r>
        <w:rPr>
          <w:rFonts w:hint="eastAsia" w:ascii="宋体" w:hAnsi="宋体" w:cs="宋体"/>
          <w:b/>
          <w:bCs/>
          <w:color w:val="auto"/>
          <w:kern w:val="2"/>
          <w:szCs w:val="21"/>
        </w:rPr>
        <w:t>2.以上分值均保留二位小数，小数点后第三位四舍五入。</w:t>
      </w:r>
    </w:p>
    <w:p w14:paraId="0FEBF2E4">
      <w:pPr>
        <w:spacing w:line="440" w:lineRule="exact"/>
        <w:ind w:firstLine="422" w:firstLineChars="200"/>
        <w:jc w:val="left"/>
        <w:rPr>
          <w:rFonts w:ascii="宋体" w:hAnsi="宋体" w:cs="宋体"/>
          <w:b/>
          <w:bCs/>
          <w:color w:val="auto"/>
          <w:kern w:val="2"/>
          <w:szCs w:val="21"/>
        </w:rPr>
      </w:pPr>
      <w:r>
        <w:rPr>
          <w:rFonts w:hint="eastAsia" w:ascii="宋体" w:hAnsi="宋体" w:cs="宋体"/>
          <w:b/>
          <w:bCs/>
          <w:color w:val="auto"/>
          <w:kern w:val="2"/>
          <w:szCs w:val="21"/>
        </w:rPr>
        <w:t>3.中标候选人享受政策性优惠的，在发布中标结果通知书时将在相关媒体予以公开、公示。</w:t>
      </w:r>
    </w:p>
    <w:p w14:paraId="70AA61BC">
      <w:pPr>
        <w:spacing w:line="440" w:lineRule="exact"/>
        <w:ind w:firstLine="422" w:firstLineChars="200"/>
        <w:jc w:val="left"/>
        <w:rPr>
          <w:rFonts w:ascii="宋体" w:hAnsi="宋体" w:cs="宋体"/>
          <w:b/>
          <w:bCs/>
          <w:color w:val="auto"/>
          <w:kern w:val="2"/>
          <w:szCs w:val="21"/>
        </w:rPr>
      </w:pPr>
      <w:r>
        <w:rPr>
          <w:rFonts w:hint="eastAsia" w:ascii="宋体" w:hAnsi="宋体" w:cs="宋体"/>
          <w:b/>
          <w:bCs/>
          <w:color w:val="auto"/>
          <w:kern w:val="2"/>
          <w:szCs w:val="21"/>
        </w:rPr>
        <w:t>4.提供的项目业绩只计算评标分值对应的项目数量，按照排列顺序从首个业绩开始评审至对应   数量，超出部分不进行评审。对应数量内业绩不符合招标文件要求不得分的，不再补充评审超出部分业绩。如：提供 2 个业绩即得满分的，按照投标文件排序评审第一、第二项业绩，其余超出部分不再评审。</w:t>
      </w:r>
    </w:p>
    <w:p w14:paraId="2495E008">
      <w:pPr>
        <w:pStyle w:val="4"/>
        <w:spacing w:beforeLines="50" w:afterLines="50" w:line="440" w:lineRule="exact"/>
        <w:rPr>
          <w:rFonts w:ascii="黑体" w:hAnsi="黑体" w:eastAsia="黑体" w:cs="黑体"/>
          <w:color w:val="auto"/>
          <w:sz w:val="28"/>
          <w:szCs w:val="28"/>
        </w:rPr>
      </w:pPr>
      <w:bookmarkStart w:id="92" w:name="_Toc35549368"/>
      <w:bookmarkStart w:id="93" w:name="_Toc24376"/>
      <w:bookmarkStart w:id="94" w:name="_Toc7596"/>
      <w:bookmarkStart w:id="95" w:name="_Toc35549722"/>
      <w:bookmarkStart w:id="96" w:name="_Toc21202"/>
      <w:r>
        <w:rPr>
          <w:rFonts w:hint="eastAsia" w:ascii="黑体" w:hAnsi="黑体" w:eastAsia="黑体" w:cs="黑体"/>
          <w:color w:val="auto"/>
          <w:sz w:val="28"/>
          <w:szCs w:val="28"/>
        </w:rPr>
        <w:t>五  推荐中标候选人</w:t>
      </w:r>
      <w:bookmarkEnd w:id="92"/>
      <w:bookmarkEnd w:id="93"/>
      <w:bookmarkEnd w:id="94"/>
      <w:bookmarkEnd w:id="95"/>
      <w:bookmarkEnd w:id="96"/>
    </w:p>
    <w:p w14:paraId="47FF3EC0">
      <w:pPr>
        <w:snapToGrid w:val="0"/>
        <w:spacing w:line="440" w:lineRule="exact"/>
        <w:ind w:firstLine="420" w:firstLineChars="200"/>
        <w:jc w:val="left"/>
        <w:rPr>
          <w:rFonts w:ascii="宋体" w:hAnsi="宋体" w:cs="宋体"/>
          <w:color w:val="auto"/>
          <w:szCs w:val="21"/>
        </w:rPr>
      </w:pPr>
      <w:bookmarkStart w:id="97" w:name="_Toc267320058"/>
      <w:r>
        <w:rPr>
          <w:rFonts w:hint="eastAsia" w:ascii="宋体" w:hAnsi="宋体" w:cs="宋体"/>
          <w:color w:val="auto"/>
          <w:szCs w:val="21"/>
        </w:rPr>
        <w:t>7.评标委员会按资信、技术和商务得分之和，从高到低按顺序，根据第二章投标人须知及前附表的规定数量推荐中标候选人。</w:t>
      </w:r>
    </w:p>
    <w:p w14:paraId="7591B740">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7.1得分相同的，按投标报价由低到高顺序排列。得分且报价相同的并列，由采购人现场采取随机摇号的方式确定中标候选人。</w:t>
      </w:r>
    </w:p>
    <w:p w14:paraId="6E55B6AC">
      <w:pPr>
        <w:snapToGrid w:val="0"/>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8.</w:t>
      </w:r>
      <w:bookmarkEnd w:id="97"/>
      <w:r>
        <w:rPr>
          <w:rFonts w:hint="eastAsia" w:ascii="宋体" w:hAnsi="宋体" w:cs="宋体"/>
          <w:b/>
          <w:color w:val="auto"/>
          <w:szCs w:val="21"/>
        </w:rPr>
        <w:t>无效投标条款</w:t>
      </w:r>
    </w:p>
    <w:p w14:paraId="6DA19905">
      <w:pPr>
        <w:snapToGrid w:val="0"/>
        <w:spacing w:line="440" w:lineRule="exact"/>
        <w:ind w:right="-212" w:rightChars="-101" w:firstLine="422" w:firstLineChars="200"/>
        <w:rPr>
          <w:rFonts w:ascii="宋体" w:hAnsi="宋体" w:cs="宋体"/>
          <w:b/>
          <w:color w:val="auto"/>
          <w:szCs w:val="21"/>
        </w:rPr>
      </w:pPr>
      <w:bookmarkStart w:id="98" w:name="_Toc58430329"/>
      <w:bookmarkStart w:id="99" w:name="_Toc35549726"/>
      <w:bookmarkStart w:id="100" w:name="_Toc35549382"/>
      <w:r>
        <w:rPr>
          <w:rFonts w:hint="eastAsia" w:ascii="宋体" w:hAnsi="宋体" w:cs="宋体"/>
          <w:b/>
          <w:color w:val="auto"/>
          <w:szCs w:val="21"/>
        </w:rPr>
        <w:t>8.无效投标条款</w:t>
      </w:r>
    </w:p>
    <w:p w14:paraId="221C952E">
      <w:pPr>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8.1投标文件有下列情形之一的,其投标文件拒收:</w:t>
      </w:r>
    </w:p>
    <w:p w14:paraId="6ED1D445">
      <w:pPr>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 xml:space="preserve"> (1) 未在开标截止时间前递交有效投标文件的，不予接收，投标将被拒绝。</w:t>
      </w:r>
    </w:p>
    <w:p w14:paraId="4F366D64">
      <w:pPr>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（2）因投标人自身原因导致投标文件在规定时间内未递交的，投标文件无效</w:t>
      </w:r>
    </w:p>
    <w:p w14:paraId="5340854F">
      <w:pPr>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 xml:space="preserve"> 8.2投标人有下列情形之一的,资格审查后其投标作无效投标处理：</w:t>
      </w:r>
    </w:p>
    <w:p w14:paraId="79B969B1">
      <w:pPr>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(1)投标人为本项目提供招标代理服务的；</w:t>
      </w:r>
    </w:p>
    <w:p w14:paraId="24397F12">
      <w:pPr>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(2)投标人与在本项目代理机构存在相互任职或工作的；</w:t>
      </w:r>
    </w:p>
    <w:p w14:paraId="4F28E814">
      <w:pPr>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(3) 评标专家无法查看并检验投标文件中相关资料的；</w:t>
      </w:r>
    </w:p>
    <w:p w14:paraId="47A81119">
      <w:pPr>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(4)被暂停营业的；</w:t>
      </w:r>
    </w:p>
    <w:p w14:paraId="041890D7">
      <w:pPr>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(5)被暂停或取消投标资格的；</w:t>
      </w:r>
    </w:p>
    <w:p w14:paraId="4CD4A08F">
      <w:pPr>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(6)财产被接管或冻结的；</w:t>
      </w:r>
    </w:p>
    <w:p w14:paraId="45E7C399">
      <w:pPr>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(7)投标人单位负责人为同一人或者存在控股、管理关系的不同单位的；</w:t>
      </w:r>
    </w:p>
    <w:p w14:paraId="61B3DB0F">
      <w:pPr>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(8) 投标人基本资格条件和特定资格条件中有一项及以上不符合要求的；</w:t>
      </w:r>
    </w:p>
    <w:p w14:paraId="6E1BC571">
      <w:pPr>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(9) 其它情形，经评标委员会委提出按无效投标处理，并经监督部门核准的；</w:t>
      </w:r>
    </w:p>
    <w:p w14:paraId="3B9F92CB">
      <w:pPr>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(10) 投标人单方面出现其他投标人材料的；</w:t>
      </w:r>
    </w:p>
    <w:p w14:paraId="4FFC6FF8">
      <w:pPr>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(11) 招标文件规定的其它无效投标情形。</w:t>
      </w:r>
    </w:p>
    <w:p w14:paraId="49C5F73A">
      <w:pPr>
        <w:tabs>
          <w:tab w:val="left" w:pos="1123"/>
        </w:tabs>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 xml:space="preserve"> 8.3 投标人有下列情形之一的,符合性审查后其投标按无效投标处理：</w:t>
      </w:r>
    </w:p>
    <w:p w14:paraId="401C5EB5">
      <w:pPr>
        <w:tabs>
          <w:tab w:val="left" w:pos="1123"/>
        </w:tabs>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(1)投标文件签字、盖章不全，经评标委员会一致认定对开评标内容有实质性影响并经公共资源交易监督部门核准的；</w:t>
      </w:r>
    </w:p>
    <w:p w14:paraId="019A9B35">
      <w:pPr>
        <w:tabs>
          <w:tab w:val="left" w:pos="1123"/>
        </w:tabs>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(2)未按规定的格式填写，实质性内容不全或关键字迹模糊、无法辨认; 经监督部门核准的；</w:t>
      </w:r>
    </w:p>
    <w:p w14:paraId="6AF5118F">
      <w:pPr>
        <w:tabs>
          <w:tab w:val="left" w:pos="1123"/>
        </w:tabs>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(3)同一投标人提交两个以上不同的投标文件或者投标报价，但招标文件规定提交备选方案的除外；</w:t>
      </w:r>
    </w:p>
    <w:p w14:paraId="366117A7">
      <w:pPr>
        <w:tabs>
          <w:tab w:val="left" w:pos="1123"/>
        </w:tabs>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(4)投标文件没有对招标文件的实质性要求和条件作出响应;</w:t>
      </w:r>
    </w:p>
    <w:p w14:paraId="7EBCF197">
      <w:pPr>
        <w:tabs>
          <w:tab w:val="left" w:pos="1123"/>
        </w:tabs>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(5)投标报价超出规定的投标限价或公布的采购预算的或投标人的投标报价单价高于招标文件给定的单价最高限价；</w:t>
      </w:r>
    </w:p>
    <w:p w14:paraId="2277B646">
      <w:pPr>
        <w:tabs>
          <w:tab w:val="left" w:pos="1123"/>
        </w:tabs>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(6)不按评标委员会要求澄清、说明或补正的，或者评标委员会根据招标文件的规定对投标文件的计算错误进行修正后，投标人不接受修正的投标报价的。</w:t>
      </w:r>
    </w:p>
    <w:p w14:paraId="5ABC7628">
      <w:pPr>
        <w:tabs>
          <w:tab w:val="left" w:pos="1123"/>
        </w:tabs>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(7)其它情形，经评标委员会委提出按无效投标处理，并经监督部门核准的；</w:t>
      </w:r>
    </w:p>
    <w:p w14:paraId="51041F18">
      <w:pPr>
        <w:tabs>
          <w:tab w:val="left" w:pos="1123"/>
        </w:tabs>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(8)投标文件含有采购人不能接受的附加条件的;</w:t>
      </w:r>
    </w:p>
    <w:p w14:paraId="705C23D0">
      <w:pPr>
        <w:tabs>
          <w:tab w:val="left" w:pos="1123"/>
        </w:tabs>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(9)招标文件规定的其它无效投标情形。</w:t>
      </w:r>
    </w:p>
    <w:p w14:paraId="4B75183C">
      <w:pPr>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8.4 投标人有下列情形之一的, 详细评审后其投标按无效投标处理：</w:t>
      </w:r>
    </w:p>
    <w:p w14:paraId="2C6C0DE1">
      <w:pPr>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(1)投标产品不符合必须强制执行的国家标准的；</w:t>
      </w:r>
    </w:p>
    <w:p w14:paraId="0310B054">
      <w:pPr>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(2)投标人有串通投标、弄虚作假、行贿等违法行为；</w:t>
      </w:r>
    </w:p>
    <w:p w14:paraId="1E685D43">
      <w:pPr>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(3)投标文件含有违反国家法律、法规的内容，或附有采购人不能接受的条件的；</w:t>
      </w:r>
    </w:p>
    <w:p w14:paraId="42C4384C">
      <w:pPr>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(4)在同一项目（或同一标段）中有多个投标人有效投标报价接近最高限价，且评标委员会认为报价出现异常的，可以宣布其投标无效；</w:t>
      </w:r>
    </w:p>
    <w:p w14:paraId="10B2C2B4">
      <w:pPr>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(5)报价明显低于其他投标人，且不能证明报价合理性的投标无效；</w:t>
      </w:r>
    </w:p>
    <w:p w14:paraId="31B94B81">
      <w:pPr>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(6)拒不确认评标委员会评审修正的投标无效；</w:t>
      </w:r>
    </w:p>
    <w:p w14:paraId="0A357843">
      <w:pPr>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(7)其它情形，经评标委员会委提出按无效投标处理，并经公共资源交易监督部门核准的；</w:t>
      </w:r>
    </w:p>
    <w:p w14:paraId="267705F5">
      <w:pPr>
        <w:snapToGrid w:val="0"/>
        <w:spacing w:line="440" w:lineRule="exact"/>
        <w:ind w:right="-212" w:rightChars="-101" w:firstLine="420" w:firstLineChars="200"/>
        <w:rPr>
          <w:rFonts w:ascii="宋体" w:hAnsi="宋体" w:cs="宋体"/>
          <w:color w:val="auto"/>
          <w:szCs w:val="21"/>
        </w:rPr>
      </w:pPr>
      <w:r>
        <w:rPr>
          <w:rFonts w:hint="eastAsia" w:ascii="宋体" w:hAnsi="宋体" w:cs="宋体"/>
          <w:color w:val="auto"/>
          <w:szCs w:val="21"/>
        </w:rPr>
        <w:t>(8)招标文件规定的其它无效投标情形。</w:t>
      </w:r>
    </w:p>
    <w:p w14:paraId="640266AC">
      <w:pPr>
        <w:rPr>
          <w:rFonts w:ascii="宋体" w:hAnsi="宋体" w:cs="宋体"/>
          <w:color w:val="auto"/>
          <w:szCs w:val="21"/>
        </w:rPr>
      </w:pPr>
    </w:p>
    <w:p w14:paraId="495E264C">
      <w:pPr>
        <w:pStyle w:val="39"/>
        <w:ind w:firstLine="420"/>
        <w:rPr>
          <w:rFonts w:hAnsi="宋体" w:cs="宋体"/>
          <w:color w:val="auto"/>
          <w:szCs w:val="21"/>
        </w:rPr>
      </w:pPr>
    </w:p>
    <w:p w14:paraId="70E8533F">
      <w:pPr>
        <w:rPr>
          <w:color w:val="auto"/>
        </w:rPr>
      </w:pPr>
    </w:p>
    <w:p w14:paraId="0E9632AE">
      <w:pPr>
        <w:rPr>
          <w:rFonts w:ascii="宋体" w:hAnsi="宋体" w:cs="宋体"/>
          <w:color w:val="auto"/>
          <w:szCs w:val="21"/>
        </w:rPr>
      </w:pPr>
    </w:p>
    <w:p w14:paraId="5BC4729D">
      <w:pPr>
        <w:pStyle w:val="39"/>
        <w:ind w:firstLine="420"/>
        <w:rPr>
          <w:rFonts w:hAnsi="宋体" w:cs="宋体"/>
          <w:color w:val="auto"/>
          <w:szCs w:val="21"/>
        </w:rPr>
      </w:pPr>
    </w:p>
    <w:p w14:paraId="0349A767">
      <w:pPr>
        <w:rPr>
          <w:rFonts w:ascii="宋体" w:hAnsi="宋体" w:cs="宋体"/>
          <w:color w:val="auto"/>
          <w:szCs w:val="21"/>
        </w:rPr>
      </w:pPr>
    </w:p>
    <w:p w14:paraId="5CA2BE83">
      <w:pPr>
        <w:rPr>
          <w:rFonts w:ascii="宋体" w:hAnsi="宋体" w:cs="宋体"/>
          <w:color w:val="auto"/>
          <w:szCs w:val="21"/>
        </w:rPr>
      </w:pPr>
    </w:p>
    <w:p w14:paraId="79A6A58F">
      <w:pPr>
        <w:rPr>
          <w:rFonts w:ascii="宋体" w:hAnsi="宋体" w:cs="宋体"/>
          <w:color w:val="auto"/>
          <w:szCs w:val="21"/>
        </w:rPr>
      </w:pPr>
    </w:p>
    <w:p w14:paraId="3FA4601D">
      <w:pPr>
        <w:rPr>
          <w:rFonts w:ascii="宋体" w:hAnsi="宋体" w:cs="宋体"/>
          <w:color w:val="auto"/>
          <w:szCs w:val="21"/>
        </w:rPr>
      </w:pPr>
    </w:p>
    <w:p w14:paraId="6734EECD">
      <w:pPr>
        <w:rPr>
          <w:rFonts w:ascii="宋体" w:hAnsi="宋体" w:cs="宋体"/>
          <w:color w:val="auto"/>
          <w:szCs w:val="21"/>
        </w:rPr>
      </w:pPr>
    </w:p>
    <w:p w14:paraId="3E901A52">
      <w:pPr>
        <w:rPr>
          <w:rFonts w:ascii="宋体" w:hAnsi="宋体" w:cs="宋体"/>
          <w:color w:val="auto"/>
          <w:szCs w:val="21"/>
        </w:rPr>
      </w:pPr>
    </w:p>
    <w:p w14:paraId="25F873A9">
      <w:pPr>
        <w:rPr>
          <w:rFonts w:ascii="宋体" w:hAnsi="宋体" w:cs="宋体"/>
          <w:color w:val="auto"/>
          <w:szCs w:val="21"/>
        </w:rPr>
      </w:pPr>
    </w:p>
    <w:p w14:paraId="6D1117F9">
      <w:pPr>
        <w:rPr>
          <w:rFonts w:ascii="宋体" w:hAnsi="宋体" w:cs="宋体"/>
          <w:color w:val="auto"/>
          <w:szCs w:val="21"/>
        </w:rPr>
      </w:pPr>
    </w:p>
    <w:p w14:paraId="1B6E0F53">
      <w:pPr>
        <w:pStyle w:val="39"/>
        <w:ind w:firstLine="420"/>
        <w:rPr>
          <w:rFonts w:hAnsi="宋体" w:cs="宋体"/>
          <w:color w:val="auto"/>
          <w:szCs w:val="21"/>
        </w:rPr>
      </w:pPr>
    </w:p>
    <w:p w14:paraId="265AE72B">
      <w:pPr>
        <w:rPr>
          <w:rFonts w:ascii="宋体" w:hAnsi="宋体" w:cs="宋体"/>
          <w:color w:val="auto"/>
          <w:szCs w:val="21"/>
        </w:rPr>
      </w:pPr>
    </w:p>
    <w:p w14:paraId="6B1A2007">
      <w:pPr>
        <w:pStyle w:val="39"/>
        <w:ind w:firstLine="420"/>
        <w:rPr>
          <w:rFonts w:hAnsi="宋体" w:cs="宋体"/>
          <w:color w:val="auto"/>
          <w:szCs w:val="21"/>
        </w:rPr>
      </w:pPr>
    </w:p>
    <w:p w14:paraId="4036CCA9">
      <w:pPr>
        <w:rPr>
          <w:rFonts w:ascii="宋体" w:hAnsi="宋体" w:cs="宋体"/>
          <w:color w:val="auto"/>
          <w:szCs w:val="21"/>
        </w:rPr>
      </w:pPr>
    </w:p>
    <w:p w14:paraId="1BF7B858">
      <w:pPr>
        <w:pStyle w:val="31"/>
        <w:ind w:left="0" w:firstLine="0"/>
      </w:pPr>
    </w:p>
    <w:bookmarkEnd w:id="98"/>
    <w:p w14:paraId="08F9472F">
      <w:pPr>
        <w:numPr>
          <w:ilvl w:val="0"/>
          <w:numId w:val="3"/>
        </w:numPr>
        <w:spacing w:beforeLines="50" w:afterLines="50" w:line="420" w:lineRule="exact"/>
        <w:jc w:val="center"/>
        <w:outlineLvl w:val="0"/>
        <w:rPr>
          <w:rFonts w:ascii="宋体" w:hAnsi="宋体" w:cs="宋体"/>
          <w:b/>
          <w:bCs/>
          <w:color w:val="auto"/>
          <w:sz w:val="36"/>
          <w:szCs w:val="36"/>
          <w:shd w:val="clear" w:color="auto" w:fill="FFFFFF"/>
        </w:rPr>
      </w:pPr>
      <w:bookmarkStart w:id="101" w:name="_Toc22713"/>
      <w:bookmarkStart w:id="102" w:name="_Toc18073"/>
      <w:bookmarkStart w:id="103" w:name="_Toc8920"/>
      <w:r>
        <w:rPr>
          <w:rFonts w:hint="eastAsia" w:ascii="宋体" w:hAnsi="宋体" w:cs="宋体"/>
          <w:b/>
          <w:bCs/>
          <w:color w:val="auto"/>
          <w:sz w:val="36"/>
          <w:szCs w:val="36"/>
        </w:rPr>
        <w:t>采购需求及技术参数要求</w:t>
      </w:r>
    </w:p>
    <w:p w14:paraId="3E763C22">
      <w:pPr>
        <w:jc w:val="center"/>
        <w:rPr>
          <w:b/>
          <w:color w:val="auto"/>
          <w:sz w:val="28"/>
          <w:szCs w:val="28"/>
        </w:rPr>
      </w:pPr>
      <w:bookmarkStart w:id="104" w:name="_Toc17553"/>
      <w:r>
        <w:rPr>
          <w:rFonts w:hint="eastAsia"/>
          <w:b/>
          <w:color w:val="auto"/>
          <w:sz w:val="28"/>
          <w:szCs w:val="28"/>
        </w:rPr>
        <w:t>一、维保设备及系统</w:t>
      </w:r>
      <w:bookmarkEnd w:id="104"/>
    </w:p>
    <w:tbl>
      <w:tblPr>
        <w:tblStyle w:val="40"/>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5536"/>
        <w:gridCol w:w="2738"/>
      </w:tblGrid>
      <w:tr w14:paraId="65B5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815" w:type="dxa"/>
            <w:vAlign w:val="center"/>
          </w:tcPr>
          <w:p w14:paraId="226D960C">
            <w:pPr>
              <w:rPr>
                <w:rFonts w:ascii="宋体" w:hAnsi="宋体"/>
                <w:color w:val="auto"/>
                <w:sz w:val="24"/>
                <w:szCs w:val="24"/>
              </w:rPr>
            </w:pPr>
            <w:r>
              <w:rPr>
                <w:rFonts w:hint="eastAsia" w:ascii="宋体" w:hAnsi="宋体"/>
                <w:color w:val="auto"/>
                <w:sz w:val="24"/>
                <w:szCs w:val="24"/>
              </w:rPr>
              <w:t>序号</w:t>
            </w:r>
          </w:p>
        </w:tc>
        <w:tc>
          <w:tcPr>
            <w:tcW w:w="5536" w:type="dxa"/>
            <w:vAlign w:val="center"/>
          </w:tcPr>
          <w:p w14:paraId="06794020">
            <w:pPr>
              <w:ind w:firstLine="480" w:firstLineChars="200"/>
              <w:jc w:val="center"/>
              <w:rPr>
                <w:rFonts w:ascii="宋体" w:hAnsi="宋体"/>
                <w:color w:val="auto"/>
                <w:sz w:val="24"/>
                <w:szCs w:val="24"/>
              </w:rPr>
            </w:pPr>
            <w:r>
              <w:rPr>
                <w:rFonts w:hint="eastAsia" w:ascii="宋体" w:hAnsi="宋体"/>
                <w:color w:val="auto"/>
                <w:sz w:val="24"/>
                <w:szCs w:val="24"/>
              </w:rPr>
              <w:t>名称</w:t>
            </w:r>
          </w:p>
        </w:tc>
        <w:tc>
          <w:tcPr>
            <w:tcW w:w="2738" w:type="dxa"/>
            <w:vAlign w:val="center"/>
          </w:tcPr>
          <w:p w14:paraId="06EC8BEE">
            <w:pPr>
              <w:ind w:firstLine="480" w:firstLineChars="200"/>
              <w:jc w:val="center"/>
              <w:rPr>
                <w:rFonts w:ascii="宋体" w:hAnsi="宋体"/>
                <w:color w:val="auto"/>
                <w:sz w:val="24"/>
                <w:szCs w:val="24"/>
              </w:rPr>
            </w:pPr>
            <w:r>
              <w:rPr>
                <w:rFonts w:hint="eastAsia" w:ascii="宋体" w:hAnsi="宋体"/>
                <w:color w:val="auto"/>
                <w:sz w:val="24"/>
                <w:szCs w:val="24"/>
              </w:rPr>
              <w:t>数量</w:t>
            </w:r>
          </w:p>
        </w:tc>
      </w:tr>
      <w:tr w14:paraId="5074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815" w:type="dxa"/>
            <w:vAlign w:val="center"/>
          </w:tcPr>
          <w:p w14:paraId="3F337FB8">
            <w:pPr>
              <w:jc w:val="center"/>
              <w:rPr>
                <w:rFonts w:ascii="宋体" w:hAnsi="宋体"/>
                <w:color w:val="auto"/>
                <w:sz w:val="24"/>
                <w:szCs w:val="24"/>
              </w:rPr>
            </w:pPr>
            <w:r>
              <w:rPr>
                <w:rFonts w:hint="eastAsia" w:ascii="宋体" w:hAnsi="宋体"/>
                <w:color w:val="auto"/>
                <w:sz w:val="24"/>
                <w:szCs w:val="24"/>
              </w:rPr>
              <w:t>1</w:t>
            </w:r>
          </w:p>
        </w:tc>
        <w:tc>
          <w:tcPr>
            <w:tcW w:w="5536" w:type="dxa"/>
            <w:vAlign w:val="center"/>
          </w:tcPr>
          <w:p w14:paraId="40D32639">
            <w:pPr>
              <w:ind w:firstLine="480" w:firstLineChars="200"/>
              <w:jc w:val="center"/>
              <w:rPr>
                <w:rFonts w:ascii="宋体" w:hAnsi="宋体"/>
                <w:color w:val="auto"/>
                <w:sz w:val="24"/>
                <w:szCs w:val="24"/>
              </w:rPr>
            </w:pPr>
            <w:r>
              <w:rPr>
                <w:rFonts w:hint="eastAsia" w:ascii="宋体" w:hAnsi="宋体"/>
                <w:color w:val="auto"/>
                <w:sz w:val="24"/>
                <w:szCs w:val="24"/>
              </w:rPr>
              <w:t>空气调节系统</w:t>
            </w:r>
          </w:p>
        </w:tc>
        <w:tc>
          <w:tcPr>
            <w:tcW w:w="2738" w:type="dxa"/>
            <w:vAlign w:val="center"/>
          </w:tcPr>
          <w:p w14:paraId="6848D381">
            <w:pPr>
              <w:ind w:firstLine="480" w:firstLineChars="200"/>
              <w:jc w:val="center"/>
              <w:rPr>
                <w:rFonts w:ascii="宋体" w:hAnsi="宋体"/>
                <w:color w:val="auto"/>
                <w:sz w:val="24"/>
                <w:szCs w:val="24"/>
              </w:rPr>
            </w:pPr>
            <w:r>
              <w:rPr>
                <w:rFonts w:hint="eastAsia" w:ascii="宋体" w:hAnsi="宋体"/>
                <w:color w:val="auto"/>
                <w:sz w:val="24"/>
                <w:szCs w:val="24"/>
              </w:rPr>
              <w:t>2台（克莱门特SAU035精密空调）</w:t>
            </w:r>
          </w:p>
        </w:tc>
      </w:tr>
      <w:tr w14:paraId="18CA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815" w:type="dxa"/>
            <w:vAlign w:val="center"/>
          </w:tcPr>
          <w:p w14:paraId="4C44FA86">
            <w:pPr>
              <w:jc w:val="center"/>
              <w:rPr>
                <w:rFonts w:ascii="宋体" w:hAnsi="宋体"/>
                <w:color w:val="auto"/>
                <w:sz w:val="24"/>
                <w:szCs w:val="24"/>
              </w:rPr>
            </w:pPr>
            <w:r>
              <w:rPr>
                <w:rFonts w:hint="eastAsia" w:ascii="宋体" w:hAnsi="宋体"/>
                <w:color w:val="auto"/>
                <w:sz w:val="24"/>
                <w:szCs w:val="24"/>
              </w:rPr>
              <w:t>2</w:t>
            </w:r>
          </w:p>
        </w:tc>
        <w:tc>
          <w:tcPr>
            <w:tcW w:w="5536" w:type="dxa"/>
            <w:vAlign w:val="center"/>
          </w:tcPr>
          <w:p w14:paraId="5E69B54B">
            <w:pPr>
              <w:ind w:firstLine="480" w:firstLineChars="200"/>
              <w:jc w:val="center"/>
              <w:rPr>
                <w:rFonts w:ascii="宋体" w:hAnsi="宋体"/>
                <w:color w:val="auto"/>
                <w:sz w:val="24"/>
                <w:szCs w:val="24"/>
              </w:rPr>
            </w:pPr>
            <w:r>
              <w:rPr>
                <w:rFonts w:hint="eastAsia" w:ascii="宋体" w:hAnsi="宋体"/>
                <w:color w:val="auto"/>
                <w:sz w:val="24"/>
                <w:szCs w:val="24"/>
              </w:rPr>
              <w:t>消防报警及灭火系统</w:t>
            </w:r>
          </w:p>
        </w:tc>
        <w:tc>
          <w:tcPr>
            <w:tcW w:w="2738" w:type="dxa"/>
            <w:vAlign w:val="center"/>
          </w:tcPr>
          <w:p w14:paraId="0A6C1E08">
            <w:pPr>
              <w:jc w:val="center"/>
              <w:rPr>
                <w:rFonts w:ascii="宋体" w:hAnsi="宋体"/>
                <w:color w:val="auto"/>
                <w:sz w:val="24"/>
                <w:szCs w:val="24"/>
              </w:rPr>
            </w:pPr>
            <w:r>
              <w:rPr>
                <w:rFonts w:hint="eastAsia" w:ascii="宋体" w:hAnsi="宋体"/>
                <w:color w:val="auto"/>
                <w:sz w:val="24"/>
                <w:szCs w:val="24"/>
              </w:rPr>
              <w:t>1套</w:t>
            </w:r>
          </w:p>
        </w:tc>
      </w:tr>
    </w:tbl>
    <w:p w14:paraId="28B233EA">
      <w:pPr>
        <w:ind w:firstLine="420" w:firstLineChars="200"/>
        <w:rPr>
          <w:color w:val="auto"/>
        </w:rPr>
      </w:pPr>
    </w:p>
    <w:p w14:paraId="297B6843">
      <w:pPr>
        <w:ind w:firstLine="2811" w:firstLineChars="1000"/>
        <w:rPr>
          <w:b/>
          <w:color w:val="auto"/>
          <w:sz w:val="28"/>
          <w:szCs w:val="28"/>
        </w:rPr>
      </w:pPr>
      <w:r>
        <w:rPr>
          <w:rFonts w:hint="eastAsia"/>
          <w:b/>
          <w:color w:val="auto"/>
          <w:sz w:val="28"/>
          <w:szCs w:val="28"/>
        </w:rPr>
        <w:t>二、维保服务内容及要求</w:t>
      </w:r>
      <w:bookmarkStart w:id="105" w:name="_Toc22934"/>
      <w:bookmarkStart w:id="106" w:name="_Toc423528473"/>
      <w:bookmarkStart w:id="107" w:name="_Toc339639804"/>
    </w:p>
    <w:p w14:paraId="573022A1">
      <w:pPr>
        <w:rPr>
          <w:b/>
          <w:color w:val="auto"/>
          <w:sz w:val="28"/>
          <w:szCs w:val="28"/>
        </w:rPr>
      </w:pPr>
    </w:p>
    <w:p w14:paraId="6CBD2332">
      <w:pPr>
        <w:rPr>
          <w:b/>
          <w:color w:val="auto"/>
          <w:sz w:val="24"/>
          <w:szCs w:val="24"/>
        </w:rPr>
      </w:pPr>
      <w:r>
        <w:rPr>
          <w:rFonts w:hint="eastAsia"/>
          <w:b/>
          <w:color w:val="auto"/>
          <w:sz w:val="24"/>
          <w:szCs w:val="24"/>
        </w:rPr>
        <w:t>1、维保服务内容</w:t>
      </w:r>
      <w:bookmarkEnd w:id="105"/>
      <w:bookmarkEnd w:id="106"/>
      <w:bookmarkEnd w:id="107"/>
    </w:p>
    <w:tbl>
      <w:tblPr>
        <w:tblStyle w:val="40"/>
        <w:tblW w:w="9638" w:type="dxa"/>
        <w:jc w:val="center"/>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Layout w:type="fixed"/>
        <w:tblCellMar>
          <w:top w:w="0" w:type="dxa"/>
          <w:left w:w="0" w:type="dxa"/>
          <w:bottom w:w="0" w:type="dxa"/>
          <w:right w:w="0" w:type="dxa"/>
        </w:tblCellMar>
      </w:tblPr>
      <w:tblGrid>
        <w:gridCol w:w="808"/>
        <w:gridCol w:w="1447"/>
        <w:gridCol w:w="6069"/>
        <w:gridCol w:w="657"/>
        <w:gridCol w:w="657"/>
      </w:tblGrid>
      <w:tr w14:paraId="191DED34">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99" w:hRule="atLeast"/>
          <w:jc w:val="center"/>
        </w:trPr>
        <w:tc>
          <w:tcPr>
            <w:tcW w:w="808" w:type="dxa"/>
            <w:tcMar>
              <w:top w:w="15" w:type="dxa"/>
              <w:left w:w="15" w:type="dxa"/>
              <w:right w:w="15" w:type="dxa"/>
            </w:tcMar>
            <w:vAlign w:val="center"/>
          </w:tcPr>
          <w:p w14:paraId="58774BB7">
            <w:pPr>
              <w:ind w:firstLine="82" w:firstLineChars="41"/>
              <w:jc w:val="center"/>
              <w:textAlignment w:val="center"/>
              <w:rPr>
                <w:rFonts w:ascii="宋体" w:hAnsi="宋体" w:cs="宋体"/>
                <w:b/>
                <w:color w:val="auto"/>
                <w:sz w:val="20"/>
              </w:rPr>
            </w:pPr>
            <w:r>
              <w:rPr>
                <w:rFonts w:hint="eastAsia" w:ascii="宋体" w:hAnsi="宋体" w:cs="宋体"/>
                <w:b/>
                <w:color w:val="auto"/>
                <w:sz w:val="20"/>
              </w:rPr>
              <w:t>序号</w:t>
            </w:r>
          </w:p>
        </w:tc>
        <w:tc>
          <w:tcPr>
            <w:tcW w:w="1447" w:type="dxa"/>
            <w:noWrap/>
            <w:tcMar>
              <w:top w:w="15" w:type="dxa"/>
              <w:left w:w="15" w:type="dxa"/>
              <w:right w:w="15" w:type="dxa"/>
            </w:tcMar>
            <w:vAlign w:val="center"/>
          </w:tcPr>
          <w:p w14:paraId="63A15D0E">
            <w:pPr>
              <w:ind w:firstLine="402" w:firstLineChars="200"/>
              <w:jc w:val="center"/>
              <w:textAlignment w:val="center"/>
              <w:rPr>
                <w:rFonts w:ascii="宋体" w:hAnsi="宋体" w:cs="宋体"/>
                <w:b/>
                <w:color w:val="auto"/>
                <w:sz w:val="20"/>
              </w:rPr>
            </w:pPr>
            <w:r>
              <w:rPr>
                <w:rFonts w:hint="eastAsia" w:ascii="宋体" w:hAnsi="宋体" w:cs="宋体"/>
                <w:b/>
                <w:color w:val="auto"/>
                <w:sz w:val="20"/>
              </w:rPr>
              <w:t>系统名称</w:t>
            </w:r>
          </w:p>
        </w:tc>
        <w:tc>
          <w:tcPr>
            <w:tcW w:w="6069" w:type="dxa"/>
            <w:tcMar>
              <w:top w:w="15" w:type="dxa"/>
              <w:left w:w="15" w:type="dxa"/>
              <w:right w:w="15" w:type="dxa"/>
            </w:tcMar>
            <w:vAlign w:val="center"/>
          </w:tcPr>
          <w:p w14:paraId="06DC6239">
            <w:pPr>
              <w:ind w:firstLine="402" w:firstLineChars="200"/>
              <w:jc w:val="center"/>
              <w:textAlignment w:val="center"/>
              <w:rPr>
                <w:rFonts w:ascii="宋体" w:hAnsi="宋体" w:cs="宋体"/>
                <w:b/>
                <w:color w:val="auto"/>
                <w:sz w:val="20"/>
              </w:rPr>
            </w:pPr>
            <w:r>
              <w:rPr>
                <w:rFonts w:hint="eastAsia" w:ascii="宋体" w:hAnsi="宋体" w:cs="宋体"/>
                <w:b/>
                <w:color w:val="auto"/>
                <w:sz w:val="20"/>
              </w:rPr>
              <w:t>维护内容</w:t>
            </w:r>
          </w:p>
        </w:tc>
        <w:tc>
          <w:tcPr>
            <w:tcW w:w="657" w:type="dxa"/>
            <w:noWrap/>
            <w:tcMar>
              <w:top w:w="15" w:type="dxa"/>
              <w:left w:w="15" w:type="dxa"/>
              <w:right w:w="15" w:type="dxa"/>
            </w:tcMar>
            <w:vAlign w:val="center"/>
          </w:tcPr>
          <w:p w14:paraId="2D4A91CF">
            <w:pPr>
              <w:jc w:val="center"/>
              <w:textAlignment w:val="center"/>
              <w:rPr>
                <w:rFonts w:ascii="宋体" w:hAnsi="宋体" w:cs="宋体"/>
                <w:b/>
                <w:color w:val="auto"/>
                <w:sz w:val="20"/>
              </w:rPr>
            </w:pPr>
            <w:r>
              <w:rPr>
                <w:rFonts w:hint="eastAsia" w:ascii="宋体" w:hAnsi="宋体" w:cs="宋体"/>
                <w:b/>
                <w:color w:val="auto"/>
                <w:sz w:val="20"/>
              </w:rPr>
              <w:t>数量</w:t>
            </w:r>
          </w:p>
        </w:tc>
        <w:tc>
          <w:tcPr>
            <w:tcW w:w="657" w:type="dxa"/>
            <w:noWrap/>
            <w:tcMar>
              <w:top w:w="15" w:type="dxa"/>
              <w:left w:w="15" w:type="dxa"/>
              <w:right w:w="15" w:type="dxa"/>
            </w:tcMar>
            <w:vAlign w:val="center"/>
          </w:tcPr>
          <w:p w14:paraId="6E26BA79">
            <w:pPr>
              <w:jc w:val="center"/>
              <w:textAlignment w:val="center"/>
              <w:rPr>
                <w:rFonts w:ascii="宋体" w:hAnsi="宋体" w:cs="宋体"/>
                <w:b/>
                <w:color w:val="auto"/>
                <w:sz w:val="20"/>
              </w:rPr>
            </w:pPr>
            <w:r>
              <w:rPr>
                <w:rFonts w:hint="eastAsia" w:ascii="宋体" w:hAnsi="宋体" w:cs="宋体"/>
                <w:b/>
                <w:color w:val="auto"/>
                <w:sz w:val="20"/>
              </w:rPr>
              <w:t>单位</w:t>
            </w:r>
          </w:p>
        </w:tc>
      </w:tr>
      <w:tr w14:paraId="5BA92696">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99" w:hRule="atLeast"/>
          <w:jc w:val="center"/>
        </w:trPr>
        <w:tc>
          <w:tcPr>
            <w:tcW w:w="808" w:type="dxa"/>
            <w:tcMar>
              <w:top w:w="15" w:type="dxa"/>
              <w:left w:w="15" w:type="dxa"/>
              <w:right w:w="15" w:type="dxa"/>
            </w:tcMar>
            <w:vAlign w:val="center"/>
          </w:tcPr>
          <w:p w14:paraId="14D391F2">
            <w:pPr>
              <w:ind w:firstLine="402" w:firstLineChars="200"/>
              <w:jc w:val="center"/>
              <w:textAlignment w:val="center"/>
              <w:rPr>
                <w:rFonts w:ascii="宋体" w:hAnsi="宋体" w:cs="宋体"/>
                <w:b/>
                <w:color w:val="auto"/>
                <w:sz w:val="20"/>
              </w:rPr>
            </w:pPr>
            <w:r>
              <w:rPr>
                <w:rFonts w:hint="eastAsia" w:ascii="宋体" w:hAnsi="宋体" w:cs="宋体"/>
                <w:b/>
                <w:color w:val="auto"/>
                <w:sz w:val="20"/>
              </w:rPr>
              <w:t>一</w:t>
            </w:r>
          </w:p>
        </w:tc>
        <w:tc>
          <w:tcPr>
            <w:tcW w:w="7516" w:type="dxa"/>
            <w:gridSpan w:val="2"/>
            <w:noWrap/>
            <w:tcMar>
              <w:top w:w="15" w:type="dxa"/>
              <w:left w:w="15" w:type="dxa"/>
              <w:right w:w="15" w:type="dxa"/>
            </w:tcMar>
            <w:vAlign w:val="center"/>
          </w:tcPr>
          <w:p w14:paraId="714D854D">
            <w:pPr>
              <w:ind w:firstLine="402" w:firstLineChars="200"/>
              <w:jc w:val="left"/>
              <w:textAlignment w:val="center"/>
              <w:rPr>
                <w:rFonts w:ascii="宋体" w:hAnsi="宋体" w:cs="宋体"/>
                <w:b/>
                <w:color w:val="auto"/>
                <w:sz w:val="20"/>
              </w:rPr>
            </w:pPr>
            <w:r>
              <w:rPr>
                <w:rFonts w:hint="eastAsia" w:ascii="宋体" w:hAnsi="宋体" w:cs="宋体"/>
                <w:b/>
                <w:color w:val="auto"/>
                <w:sz w:val="20"/>
              </w:rPr>
              <w:t>数据中心机房</w:t>
            </w:r>
          </w:p>
        </w:tc>
        <w:tc>
          <w:tcPr>
            <w:tcW w:w="657" w:type="dxa"/>
            <w:noWrap/>
            <w:tcMar>
              <w:top w:w="15" w:type="dxa"/>
              <w:left w:w="15" w:type="dxa"/>
              <w:right w:w="15" w:type="dxa"/>
            </w:tcMar>
            <w:vAlign w:val="center"/>
          </w:tcPr>
          <w:p w14:paraId="79161007">
            <w:pPr>
              <w:ind w:firstLine="402" w:firstLineChars="200"/>
              <w:jc w:val="center"/>
              <w:rPr>
                <w:rFonts w:ascii="宋体" w:hAnsi="宋体" w:cs="宋体"/>
                <w:b/>
                <w:color w:val="auto"/>
                <w:sz w:val="20"/>
              </w:rPr>
            </w:pPr>
          </w:p>
        </w:tc>
        <w:tc>
          <w:tcPr>
            <w:tcW w:w="657" w:type="dxa"/>
            <w:noWrap/>
            <w:tcMar>
              <w:top w:w="15" w:type="dxa"/>
              <w:left w:w="15" w:type="dxa"/>
              <w:right w:w="15" w:type="dxa"/>
            </w:tcMar>
            <w:vAlign w:val="center"/>
          </w:tcPr>
          <w:p w14:paraId="3339C520">
            <w:pPr>
              <w:ind w:firstLine="402" w:firstLineChars="200"/>
              <w:jc w:val="center"/>
              <w:rPr>
                <w:rFonts w:ascii="宋体" w:hAnsi="宋体" w:cs="宋体"/>
                <w:b/>
                <w:color w:val="auto"/>
                <w:sz w:val="20"/>
              </w:rPr>
            </w:pPr>
          </w:p>
        </w:tc>
      </w:tr>
      <w:tr w14:paraId="5DE3A581">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restart"/>
            <w:tcMar>
              <w:top w:w="15" w:type="dxa"/>
              <w:left w:w="15" w:type="dxa"/>
              <w:right w:w="15" w:type="dxa"/>
            </w:tcMar>
            <w:vAlign w:val="center"/>
          </w:tcPr>
          <w:p w14:paraId="1892E0B5">
            <w:pPr>
              <w:jc w:val="center"/>
              <w:textAlignment w:val="center"/>
              <w:rPr>
                <w:rFonts w:ascii="宋体" w:hAnsi="宋体" w:cs="宋体"/>
                <w:color w:val="auto"/>
                <w:sz w:val="20"/>
              </w:rPr>
            </w:pPr>
            <w:r>
              <w:rPr>
                <w:rFonts w:hint="eastAsia" w:ascii="宋体" w:hAnsi="宋体" w:cs="宋体"/>
                <w:color w:val="auto"/>
                <w:sz w:val="20"/>
              </w:rPr>
              <w:t>1</w:t>
            </w:r>
          </w:p>
        </w:tc>
        <w:tc>
          <w:tcPr>
            <w:tcW w:w="1447" w:type="dxa"/>
            <w:vMerge w:val="restart"/>
            <w:noWrap/>
            <w:tcMar>
              <w:top w:w="15" w:type="dxa"/>
              <w:left w:w="15" w:type="dxa"/>
              <w:right w:w="15" w:type="dxa"/>
            </w:tcMar>
            <w:vAlign w:val="center"/>
          </w:tcPr>
          <w:p w14:paraId="2BE6A164">
            <w:pPr>
              <w:jc w:val="left"/>
              <w:textAlignment w:val="center"/>
              <w:rPr>
                <w:rFonts w:ascii="宋体" w:hAnsi="宋体" w:cs="宋体"/>
                <w:color w:val="auto"/>
                <w:sz w:val="20"/>
              </w:rPr>
            </w:pPr>
            <w:r>
              <w:rPr>
                <w:rFonts w:hint="eastAsia" w:ascii="宋体" w:hAnsi="宋体" w:cs="宋体"/>
                <w:color w:val="auto"/>
                <w:sz w:val="20"/>
              </w:rPr>
              <w:t>空气调节系统</w:t>
            </w:r>
          </w:p>
        </w:tc>
        <w:tc>
          <w:tcPr>
            <w:tcW w:w="6069" w:type="dxa"/>
            <w:tcMar>
              <w:top w:w="15" w:type="dxa"/>
              <w:left w:w="15" w:type="dxa"/>
              <w:right w:w="15" w:type="dxa"/>
            </w:tcMar>
            <w:vAlign w:val="center"/>
          </w:tcPr>
          <w:p w14:paraId="2497AED7">
            <w:pPr>
              <w:ind w:firstLine="400" w:firstLineChars="200"/>
              <w:textAlignment w:val="center"/>
              <w:rPr>
                <w:rFonts w:ascii="宋体" w:hAnsi="宋体" w:cs="宋体"/>
                <w:color w:val="auto"/>
                <w:sz w:val="20"/>
              </w:rPr>
            </w:pPr>
            <w:r>
              <w:rPr>
                <w:rFonts w:hint="eastAsia" w:ascii="宋体" w:hAnsi="宋体" w:cs="宋体"/>
                <w:color w:val="auto"/>
                <w:sz w:val="20"/>
              </w:rPr>
              <w:t>1） 测量压缩机吸气及排气压力.</w:t>
            </w:r>
          </w:p>
        </w:tc>
        <w:tc>
          <w:tcPr>
            <w:tcW w:w="657" w:type="dxa"/>
            <w:vMerge w:val="restart"/>
            <w:noWrap/>
            <w:tcMar>
              <w:top w:w="15" w:type="dxa"/>
              <w:left w:w="15" w:type="dxa"/>
              <w:right w:w="15" w:type="dxa"/>
            </w:tcMar>
            <w:vAlign w:val="center"/>
          </w:tcPr>
          <w:p w14:paraId="081EF288">
            <w:pPr>
              <w:ind w:firstLine="124" w:firstLineChars="62"/>
              <w:jc w:val="center"/>
              <w:textAlignment w:val="center"/>
              <w:rPr>
                <w:rFonts w:ascii="宋体" w:hAnsi="宋体" w:cs="宋体"/>
                <w:color w:val="auto"/>
                <w:sz w:val="20"/>
              </w:rPr>
            </w:pPr>
            <w:r>
              <w:rPr>
                <w:rFonts w:hint="eastAsia" w:ascii="宋体" w:hAnsi="宋体" w:cs="宋体"/>
                <w:color w:val="auto"/>
                <w:sz w:val="20"/>
              </w:rPr>
              <w:t>1</w:t>
            </w:r>
          </w:p>
        </w:tc>
        <w:tc>
          <w:tcPr>
            <w:tcW w:w="657" w:type="dxa"/>
            <w:vMerge w:val="restart"/>
            <w:noWrap/>
            <w:tcMar>
              <w:top w:w="15" w:type="dxa"/>
              <w:left w:w="15" w:type="dxa"/>
              <w:right w:w="15" w:type="dxa"/>
            </w:tcMar>
            <w:vAlign w:val="center"/>
          </w:tcPr>
          <w:p w14:paraId="08735130">
            <w:pPr>
              <w:jc w:val="center"/>
              <w:textAlignment w:val="center"/>
              <w:rPr>
                <w:rFonts w:ascii="宋体" w:hAnsi="宋体" w:cs="宋体"/>
                <w:color w:val="auto"/>
                <w:sz w:val="20"/>
              </w:rPr>
            </w:pPr>
            <w:r>
              <w:rPr>
                <w:rFonts w:hint="eastAsia" w:ascii="宋体" w:hAnsi="宋体" w:cs="宋体"/>
                <w:color w:val="auto"/>
                <w:sz w:val="20"/>
              </w:rPr>
              <w:t>项</w:t>
            </w:r>
          </w:p>
        </w:tc>
      </w:tr>
      <w:tr w14:paraId="490E12C6">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04092A58">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34B13305">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41B7D23C">
            <w:pPr>
              <w:ind w:firstLine="400" w:firstLineChars="200"/>
              <w:textAlignment w:val="center"/>
              <w:rPr>
                <w:rFonts w:ascii="宋体" w:hAnsi="宋体" w:cs="宋体"/>
                <w:color w:val="auto"/>
                <w:sz w:val="20"/>
              </w:rPr>
            </w:pPr>
            <w:r>
              <w:rPr>
                <w:rFonts w:hint="eastAsia" w:ascii="宋体" w:hAnsi="宋体" w:cs="宋体"/>
                <w:color w:val="auto"/>
                <w:sz w:val="20"/>
              </w:rPr>
              <w:t>2） 检查压缩机冷冻油油位是否合适，若油位低，则补足，报价中应包含冷冻油费用。</w:t>
            </w:r>
          </w:p>
        </w:tc>
        <w:tc>
          <w:tcPr>
            <w:tcW w:w="657" w:type="dxa"/>
            <w:vMerge w:val="continue"/>
            <w:noWrap/>
            <w:tcMar>
              <w:top w:w="15" w:type="dxa"/>
              <w:left w:w="15" w:type="dxa"/>
              <w:right w:w="15" w:type="dxa"/>
            </w:tcMar>
            <w:vAlign w:val="center"/>
          </w:tcPr>
          <w:p w14:paraId="01A39C4C">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7DA9A841">
            <w:pPr>
              <w:ind w:firstLine="400" w:firstLineChars="200"/>
              <w:jc w:val="center"/>
              <w:rPr>
                <w:rFonts w:ascii="宋体" w:hAnsi="宋体" w:cs="宋体"/>
                <w:color w:val="auto"/>
                <w:sz w:val="20"/>
              </w:rPr>
            </w:pPr>
          </w:p>
        </w:tc>
      </w:tr>
      <w:tr w14:paraId="77C082A5">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408CD353">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4A6A6CC7">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18F825EC">
            <w:pPr>
              <w:ind w:firstLine="400" w:firstLineChars="200"/>
              <w:textAlignment w:val="center"/>
              <w:rPr>
                <w:rFonts w:ascii="宋体" w:hAnsi="宋体" w:cs="宋体"/>
                <w:color w:val="auto"/>
                <w:sz w:val="20"/>
              </w:rPr>
            </w:pPr>
            <w:r>
              <w:rPr>
                <w:rFonts w:hint="eastAsia" w:ascii="宋体" w:hAnsi="宋体" w:cs="宋体"/>
                <w:color w:val="auto"/>
                <w:sz w:val="20"/>
              </w:rPr>
              <w:t>3） 检查压缩机回气过热度。</w:t>
            </w:r>
          </w:p>
        </w:tc>
        <w:tc>
          <w:tcPr>
            <w:tcW w:w="657" w:type="dxa"/>
            <w:vMerge w:val="continue"/>
            <w:noWrap/>
            <w:tcMar>
              <w:top w:w="15" w:type="dxa"/>
              <w:left w:w="15" w:type="dxa"/>
              <w:right w:w="15" w:type="dxa"/>
            </w:tcMar>
            <w:vAlign w:val="center"/>
          </w:tcPr>
          <w:p w14:paraId="27B4A1B2">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2B7F6DC2">
            <w:pPr>
              <w:ind w:firstLine="400" w:firstLineChars="200"/>
              <w:jc w:val="center"/>
              <w:rPr>
                <w:rFonts w:ascii="宋体" w:hAnsi="宋体" w:cs="宋体"/>
                <w:color w:val="auto"/>
                <w:sz w:val="20"/>
              </w:rPr>
            </w:pPr>
          </w:p>
        </w:tc>
      </w:tr>
      <w:tr w14:paraId="48C67AF8">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1F3FA421">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487FEC16">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487E3B14">
            <w:pPr>
              <w:ind w:firstLine="400" w:firstLineChars="200"/>
              <w:textAlignment w:val="center"/>
              <w:rPr>
                <w:rFonts w:ascii="宋体" w:hAnsi="宋体" w:cs="宋体"/>
                <w:color w:val="auto"/>
                <w:sz w:val="20"/>
              </w:rPr>
            </w:pPr>
            <w:r>
              <w:rPr>
                <w:rFonts w:hint="eastAsia" w:ascii="宋体" w:hAnsi="宋体" w:cs="宋体"/>
                <w:color w:val="auto"/>
                <w:sz w:val="20"/>
              </w:rPr>
              <w:t>4） 检查压缩机工作电流是否在正常范围内。</w:t>
            </w:r>
          </w:p>
        </w:tc>
        <w:tc>
          <w:tcPr>
            <w:tcW w:w="657" w:type="dxa"/>
            <w:vMerge w:val="continue"/>
            <w:noWrap/>
            <w:tcMar>
              <w:top w:w="15" w:type="dxa"/>
              <w:left w:w="15" w:type="dxa"/>
              <w:right w:w="15" w:type="dxa"/>
            </w:tcMar>
            <w:vAlign w:val="center"/>
          </w:tcPr>
          <w:p w14:paraId="6890246F">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695FAD08">
            <w:pPr>
              <w:ind w:firstLine="400" w:firstLineChars="200"/>
              <w:jc w:val="center"/>
              <w:rPr>
                <w:rFonts w:ascii="宋体" w:hAnsi="宋体" w:cs="宋体"/>
                <w:color w:val="auto"/>
                <w:sz w:val="20"/>
              </w:rPr>
            </w:pPr>
          </w:p>
        </w:tc>
      </w:tr>
      <w:tr w14:paraId="770811E5">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3249EA4D">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2CFC1B5B">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49604A14">
            <w:pPr>
              <w:ind w:firstLine="400" w:firstLineChars="200"/>
              <w:textAlignment w:val="center"/>
              <w:rPr>
                <w:rFonts w:ascii="宋体" w:hAnsi="宋体" w:cs="宋体"/>
                <w:color w:val="auto"/>
                <w:sz w:val="20"/>
              </w:rPr>
            </w:pPr>
            <w:r>
              <w:rPr>
                <w:rFonts w:hint="eastAsia" w:ascii="宋体" w:hAnsi="宋体" w:cs="宋体"/>
                <w:color w:val="auto"/>
                <w:sz w:val="20"/>
              </w:rPr>
              <w:t>5） 检查制冷剂是否足够，若不足，则补足，报价中应包含制冷剂费用。</w:t>
            </w:r>
          </w:p>
        </w:tc>
        <w:tc>
          <w:tcPr>
            <w:tcW w:w="657" w:type="dxa"/>
            <w:vMerge w:val="continue"/>
            <w:noWrap/>
            <w:tcMar>
              <w:top w:w="15" w:type="dxa"/>
              <w:left w:w="15" w:type="dxa"/>
              <w:right w:w="15" w:type="dxa"/>
            </w:tcMar>
            <w:vAlign w:val="center"/>
          </w:tcPr>
          <w:p w14:paraId="0A9A428E">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61752C6F">
            <w:pPr>
              <w:ind w:firstLine="400" w:firstLineChars="200"/>
              <w:jc w:val="center"/>
              <w:rPr>
                <w:rFonts w:ascii="宋体" w:hAnsi="宋体" w:cs="宋体"/>
                <w:color w:val="auto"/>
                <w:sz w:val="20"/>
              </w:rPr>
            </w:pPr>
          </w:p>
        </w:tc>
      </w:tr>
      <w:tr w14:paraId="18F58AB0">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148B742E">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351EBC7D">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26C4831A">
            <w:pPr>
              <w:ind w:firstLine="400" w:firstLineChars="200"/>
              <w:textAlignment w:val="center"/>
              <w:rPr>
                <w:rFonts w:ascii="宋体" w:hAnsi="宋体" w:cs="宋体"/>
                <w:color w:val="auto"/>
                <w:sz w:val="20"/>
              </w:rPr>
            </w:pPr>
            <w:r>
              <w:rPr>
                <w:rFonts w:hint="eastAsia" w:ascii="宋体" w:hAnsi="宋体" w:cs="宋体"/>
                <w:color w:val="auto"/>
                <w:sz w:val="20"/>
              </w:rPr>
              <w:t>6） 检查液管视镜情况，看制冷剂是否正常，若不足，则补足，报价中应包含制冷剂费用。</w:t>
            </w:r>
          </w:p>
        </w:tc>
        <w:tc>
          <w:tcPr>
            <w:tcW w:w="657" w:type="dxa"/>
            <w:vMerge w:val="continue"/>
            <w:noWrap/>
            <w:tcMar>
              <w:top w:w="15" w:type="dxa"/>
              <w:left w:w="15" w:type="dxa"/>
              <w:right w:w="15" w:type="dxa"/>
            </w:tcMar>
            <w:vAlign w:val="center"/>
          </w:tcPr>
          <w:p w14:paraId="058CA3F5">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46A0EF9F">
            <w:pPr>
              <w:ind w:firstLine="400" w:firstLineChars="200"/>
              <w:jc w:val="center"/>
              <w:rPr>
                <w:rFonts w:ascii="宋体" w:hAnsi="宋体" w:cs="宋体"/>
                <w:color w:val="auto"/>
                <w:sz w:val="20"/>
              </w:rPr>
            </w:pPr>
          </w:p>
        </w:tc>
      </w:tr>
      <w:tr w14:paraId="6D2D0112">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2D67FDA4">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6DEB5152">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021B9EA6">
            <w:pPr>
              <w:ind w:firstLine="400" w:firstLineChars="200"/>
              <w:textAlignment w:val="center"/>
              <w:rPr>
                <w:rFonts w:ascii="宋体" w:hAnsi="宋体" w:cs="宋体"/>
                <w:color w:val="auto"/>
                <w:sz w:val="20"/>
              </w:rPr>
            </w:pPr>
            <w:r>
              <w:rPr>
                <w:rFonts w:hint="eastAsia" w:ascii="宋体" w:hAnsi="宋体" w:cs="宋体"/>
                <w:color w:val="auto"/>
                <w:sz w:val="20"/>
              </w:rPr>
              <w:t>7） 调整室外冷凝器过冷度。</w:t>
            </w:r>
          </w:p>
        </w:tc>
        <w:tc>
          <w:tcPr>
            <w:tcW w:w="657" w:type="dxa"/>
            <w:vMerge w:val="continue"/>
            <w:noWrap/>
            <w:tcMar>
              <w:top w:w="15" w:type="dxa"/>
              <w:left w:w="15" w:type="dxa"/>
              <w:right w:w="15" w:type="dxa"/>
            </w:tcMar>
            <w:vAlign w:val="center"/>
          </w:tcPr>
          <w:p w14:paraId="148A71CF">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62AD7942">
            <w:pPr>
              <w:ind w:firstLine="400" w:firstLineChars="200"/>
              <w:jc w:val="center"/>
              <w:rPr>
                <w:rFonts w:ascii="宋体" w:hAnsi="宋体" w:cs="宋体"/>
                <w:color w:val="auto"/>
                <w:sz w:val="20"/>
              </w:rPr>
            </w:pPr>
          </w:p>
        </w:tc>
      </w:tr>
      <w:tr w14:paraId="513F8A4A">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2A364AEE">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22760DB8">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7F5671D8">
            <w:pPr>
              <w:ind w:firstLine="400" w:firstLineChars="200"/>
              <w:textAlignment w:val="center"/>
              <w:rPr>
                <w:rFonts w:ascii="宋体" w:hAnsi="宋体" w:cs="宋体"/>
                <w:color w:val="auto"/>
                <w:sz w:val="20"/>
              </w:rPr>
            </w:pPr>
            <w:r>
              <w:rPr>
                <w:rFonts w:hint="eastAsia" w:ascii="宋体" w:hAnsi="宋体" w:cs="宋体"/>
                <w:color w:val="auto"/>
                <w:sz w:val="20"/>
              </w:rPr>
              <w:t>8） 检查室外冷凝器调速器工作情况，调整工作点。</w:t>
            </w:r>
          </w:p>
        </w:tc>
        <w:tc>
          <w:tcPr>
            <w:tcW w:w="657" w:type="dxa"/>
            <w:vMerge w:val="continue"/>
            <w:noWrap/>
            <w:tcMar>
              <w:top w:w="15" w:type="dxa"/>
              <w:left w:w="15" w:type="dxa"/>
              <w:right w:w="15" w:type="dxa"/>
            </w:tcMar>
            <w:vAlign w:val="center"/>
          </w:tcPr>
          <w:p w14:paraId="2D658E63">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134C9810">
            <w:pPr>
              <w:ind w:firstLine="400" w:firstLineChars="200"/>
              <w:jc w:val="center"/>
              <w:rPr>
                <w:rFonts w:ascii="宋体" w:hAnsi="宋体" w:cs="宋体"/>
                <w:color w:val="auto"/>
                <w:sz w:val="20"/>
              </w:rPr>
            </w:pPr>
          </w:p>
        </w:tc>
      </w:tr>
      <w:tr w14:paraId="10F2ADD8">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5B09410C">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41CC36A6">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648A25E2">
            <w:pPr>
              <w:ind w:firstLine="400" w:firstLineChars="200"/>
              <w:textAlignment w:val="center"/>
              <w:rPr>
                <w:rFonts w:ascii="宋体" w:hAnsi="宋体" w:cs="宋体"/>
                <w:color w:val="auto"/>
                <w:sz w:val="20"/>
              </w:rPr>
            </w:pPr>
            <w:r>
              <w:rPr>
                <w:rFonts w:hint="eastAsia" w:ascii="宋体" w:hAnsi="宋体" w:cs="宋体"/>
                <w:color w:val="auto"/>
                <w:sz w:val="20"/>
              </w:rPr>
              <w:t>9） 校准室外冷凝器温度开关。</w:t>
            </w:r>
          </w:p>
        </w:tc>
        <w:tc>
          <w:tcPr>
            <w:tcW w:w="657" w:type="dxa"/>
            <w:vMerge w:val="continue"/>
            <w:noWrap/>
            <w:tcMar>
              <w:top w:w="15" w:type="dxa"/>
              <w:left w:w="15" w:type="dxa"/>
              <w:right w:w="15" w:type="dxa"/>
            </w:tcMar>
            <w:vAlign w:val="center"/>
          </w:tcPr>
          <w:p w14:paraId="4741DFF6">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7A2884D2">
            <w:pPr>
              <w:ind w:firstLine="400" w:firstLineChars="200"/>
              <w:jc w:val="center"/>
              <w:rPr>
                <w:rFonts w:ascii="宋体" w:hAnsi="宋体" w:cs="宋体"/>
                <w:color w:val="auto"/>
                <w:sz w:val="20"/>
              </w:rPr>
            </w:pPr>
          </w:p>
        </w:tc>
      </w:tr>
      <w:tr w14:paraId="4FB16F42">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346082C9">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1527B67D">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2AD185E6">
            <w:pPr>
              <w:ind w:firstLine="400" w:firstLineChars="200"/>
              <w:textAlignment w:val="center"/>
              <w:rPr>
                <w:rFonts w:ascii="宋体" w:hAnsi="宋体" w:cs="宋体"/>
                <w:color w:val="auto"/>
                <w:sz w:val="20"/>
              </w:rPr>
            </w:pPr>
            <w:r>
              <w:rPr>
                <w:rFonts w:hint="eastAsia" w:ascii="宋体" w:hAnsi="宋体" w:cs="宋体"/>
                <w:color w:val="auto"/>
                <w:sz w:val="20"/>
              </w:rPr>
              <w:t>10) 测量室内、外风机工作电流。</w:t>
            </w:r>
          </w:p>
        </w:tc>
        <w:tc>
          <w:tcPr>
            <w:tcW w:w="657" w:type="dxa"/>
            <w:vMerge w:val="continue"/>
            <w:noWrap/>
            <w:tcMar>
              <w:top w:w="15" w:type="dxa"/>
              <w:left w:w="15" w:type="dxa"/>
              <w:right w:w="15" w:type="dxa"/>
            </w:tcMar>
            <w:vAlign w:val="center"/>
          </w:tcPr>
          <w:p w14:paraId="27FE03D0">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5EAB33CF">
            <w:pPr>
              <w:ind w:firstLine="400" w:firstLineChars="200"/>
              <w:jc w:val="center"/>
              <w:rPr>
                <w:rFonts w:ascii="宋体" w:hAnsi="宋体" w:cs="宋体"/>
                <w:color w:val="auto"/>
                <w:sz w:val="20"/>
              </w:rPr>
            </w:pPr>
          </w:p>
        </w:tc>
      </w:tr>
      <w:tr w14:paraId="7AB9AE7A">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1BAD1E7C">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6E91D896">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6F7FEACC">
            <w:pPr>
              <w:ind w:firstLine="400" w:firstLineChars="200"/>
              <w:textAlignment w:val="center"/>
              <w:rPr>
                <w:rFonts w:ascii="宋体" w:hAnsi="宋体" w:cs="宋体"/>
                <w:color w:val="auto"/>
                <w:sz w:val="20"/>
              </w:rPr>
            </w:pPr>
            <w:r>
              <w:rPr>
                <w:rFonts w:hint="eastAsia" w:ascii="宋体" w:hAnsi="宋体" w:cs="宋体"/>
                <w:color w:val="auto"/>
                <w:sz w:val="20"/>
              </w:rPr>
              <w:t>11) 检查室内、外风机轴承工作状况。</w:t>
            </w:r>
          </w:p>
        </w:tc>
        <w:tc>
          <w:tcPr>
            <w:tcW w:w="657" w:type="dxa"/>
            <w:vMerge w:val="continue"/>
            <w:noWrap/>
            <w:tcMar>
              <w:top w:w="15" w:type="dxa"/>
              <w:left w:w="15" w:type="dxa"/>
              <w:right w:w="15" w:type="dxa"/>
            </w:tcMar>
            <w:vAlign w:val="center"/>
          </w:tcPr>
          <w:p w14:paraId="7617828A">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3AB3A0A3">
            <w:pPr>
              <w:ind w:firstLine="400" w:firstLineChars="200"/>
              <w:jc w:val="center"/>
              <w:rPr>
                <w:rFonts w:ascii="宋体" w:hAnsi="宋体" w:cs="宋体"/>
                <w:color w:val="auto"/>
                <w:sz w:val="20"/>
              </w:rPr>
            </w:pPr>
          </w:p>
        </w:tc>
      </w:tr>
      <w:tr w14:paraId="3192B24A">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5146D423">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7287BE7B">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7045E58A">
            <w:pPr>
              <w:ind w:firstLine="400" w:firstLineChars="200"/>
              <w:textAlignment w:val="center"/>
              <w:rPr>
                <w:rFonts w:ascii="宋体" w:hAnsi="宋体" w:cs="宋体"/>
                <w:color w:val="auto"/>
                <w:sz w:val="20"/>
              </w:rPr>
            </w:pPr>
            <w:r>
              <w:rPr>
                <w:rFonts w:hint="eastAsia" w:ascii="宋体" w:hAnsi="宋体" w:cs="宋体"/>
                <w:color w:val="auto"/>
                <w:sz w:val="20"/>
              </w:rPr>
              <w:t>12) 查看空气滤网洁净度,每半年更换一次全新空气滤网，报价中应包含空气滤网费用。</w:t>
            </w:r>
          </w:p>
        </w:tc>
        <w:tc>
          <w:tcPr>
            <w:tcW w:w="657" w:type="dxa"/>
            <w:vMerge w:val="continue"/>
            <w:noWrap/>
            <w:tcMar>
              <w:top w:w="15" w:type="dxa"/>
              <w:left w:w="15" w:type="dxa"/>
              <w:right w:w="15" w:type="dxa"/>
            </w:tcMar>
            <w:vAlign w:val="center"/>
          </w:tcPr>
          <w:p w14:paraId="7AACC88A">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04658D75">
            <w:pPr>
              <w:ind w:firstLine="400" w:firstLineChars="200"/>
              <w:jc w:val="center"/>
              <w:rPr>
                <w:rFonts w:ascii="宋体" w:hAnsi="宋体" w:cs="宋体"/>
                <w:color w:val="auto"/>
                <w:sz w:val="20"/>
              </w:rPr>
            </w:pPr>
          </w:p>
        </w:tc>
      </w:tr>
      <w:tr w14:paraId="76DBD8F2">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731DB495">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14AEFCC5">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48D32C61">
            <w:pPr>
              <w:ind w:firstLine="400" w:firstLineChars="200"/>
              <w:textAlignment w:val="center"/>
              <w:rPr>
                <w:rFonts w:ascii="宋体" w:hAnsi="宋体" w:cs="宋体"/>
                <w:color w:val="auto"/>
                <w:sz w:val="20"/>
              </w:rPr>
            </w:pPr>
            <w:r>
              <w:rPr>
                <w:rFonts w:hint="eastAsia" w:ascii="宋体" w:hAnsi="宋体" w:cs="宋体"/>
                <w:color w:val="auto"/>
                <w:sz w:val="20"/>
              </w:rPr>
              <w:t>13）查看空调加湿罐,每一年更换全新加湿罐一次，报价中应包含空调加湿罐费用。</w:t>
            </w:r>
          </w:p>
        </w:tc>
        <w:tc>
          <w:tcPr>
            <w:tcW w:w="657" w:type="dxa"/>
            <w:vMerge w:val="continue"/>
            <w:noWrap/>
            <w:tcMar>
              <w:top w:w="15" w:type="dxa"/>
              <w:left w:w="15" w:type="dxa"/>
              <w:right w:w="15" w:type="dxa"/>
            </w:tcMar>
            <w:vAlign w:val="center"/>
          </w:tcPr>
          <w:p w14:paraId="24F33DAA">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721EAB8D">
            <w:pPr>
              <w:ind w:firstLine="400" w:firstLineChars="200"/>
              <w:jc w:val="center"/>
              <w:rPr>
                <w:rFonts w:ascii="宋体" w:hAnsi="宋体" w:cs="宋体"/>
                <w:color w:val="auto"/>
                <w:sz w:val="20"/>
              </w:rPr>
            </w:pPr>
          </w:p>
        </w:tc>
      </w:tr>
      <w:tr w14:paraId="09DD2D79">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4BDB535A">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48B53DDB">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7B68AAA5">
            <w:pPr>
              <w:ind w:firstLine="400" w:firstLineChars="200"/>
              <w:textAlignment w:val="center"/>
              <w:rPr>
                <w:rFonts w:ascii="宋体" w:hAnsi="宋体" w:cs="宋体"/>
                <w:color w:val="auto"/>
                <w:sz w:val="20"/>
              </w:rPr>
            </w:pPr>
            <w:r>
              <w:rPr>
                <w:rFonts w:hint="eastAsia" w:ascii="宋体" w:hAnsi="宋体" w:cs="宋体"/>
                <w:color w:val="auto"/>
                <w:sz w:val="20"/>
              </w:rPr>
              <w:t>14）查看空调外机洁净度,每半年清洗一次。</w:t>
            </w:r>
          </w:p>
        </w:tc>
        <w:tc>
          <w:tcPr>
            <w:tcW w:w="657" w:type="dxa"/>
            <w:vMerge w:val="continue"/>
            <w:noWrap/>
            <w:tcMar>
              <w:top w:w="15" w:type="dxa"/>
              <w:left w:w="15" w:type="dxa"/>
              <w:right w:w="15" w:type="dxa"/>
            </w:tcMar>
            <w:vAlign w:val="center"/>
          </w:tcPr>
          <w:p w14:paraId="63B1BF8A">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2B316C2A">
            <w:pPr>
              <w:ind w:firstLine="400" w:firstLineChars="200"/>
              <w:jc w:val="center"/>
              <w:rPr>
                <w:rFonts w:ascii="宋体" w:hAnsi="宋体" w:cs="宋体"/>
                <w:color w:val="auto"/>
                <w:sz w:val="20"/>
              </w:rPr>
            </w:pPr>
          </w:p>
        </w:tc>
      </w:tr>
      <w:tr w14:paraId="69D91279">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20B3B514">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0992BC4B">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71A22A65">
            <w:pPr>
              <w:ind w:firstLine="400" w:firstLineChars="200"/>
              <w:textAlignment w:val="center"/>
              <w:rPr>
                <w:rFonts w:ascii="宋体" w:hAnsi="宋体" w:cs="宋体"/>
                <w:color w:val="auto"/>
                <w:sz w:val="20"/>
              </w:rPr>
            </w:pPr>
            <w:r>
              <w:rPr>
                <w:rFonts w:hint="eastAsia" w:ascii="宋体" w:hAnsi="宋体" w:cs="宋体"/>
                <w:color w:val="auto"/>
                <w:sz w:val="20"/>
              </w:rPr>
              <w:t>15) 测试主控板输出功能。</w:t>
            </w:r>
          </w:p>
        </w:tc>
        <w:tc>
          <w:tcPr>
            <w:tcW w:w="657" w:type="dxa"/>
            <w:vMerge w:val="continue"/>
            <w:noWrap/>
            <w:tcMar>
              <w:top w:w="15" w:type="dxa"/>
              <w:left w:w="15" w:type="dxa"/>
              <w:right w:w="15" w:type="dxa"/>
            </w:tcMar>
            <w:vAlign w:val="center"/>
          </w:tcPr>
          <w:p w14:paraId="6BC7310C">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552FE2B9">
            <w:pPr>
              <w:ind w:firstLine="400" w:firstLineChars="200"/>
              <w:jc w:val="center"/>
              <w:rPr>
                <w:rFonts w:ascii="宋体" w:hAnsi="宋体" w:cs="宋体"/>
                <w:color w:val="auto"/>
                <w:sz w:val="20"/>
              </w:rPr>
            </w:pPr>
          </w:p>
        </w:tc>
      </w:tr>
      <w:tr w14:paraId="4746DE17">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6459C091">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298ED990">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6210BE1F">
            <w:pPr>
              <w:ind w:firstLine="400" w:firstLineChars="200"/>
              <w:textAlignment w:val="center"/>
              <w:rPr>
                <w:rFonts w:ascii="宋体" w:hAnsi="宋体" w:cs="宋体"/>
                <w:color w:val="auto"/>
                <w:sz w:val="20"/>
              </w:rPr>
            </w:pPr>
            <w:r>
              <w:rPr>
                <w:rFonts w:hint="eastAsia" w:ascii="宋体" w:hAnsi="宋体" w:cs="宋体"/>
                <w:color w:val="auto"/>
                <w:sz w:val="20"/>
              </w:rPr>
              <w:t>16) 向用户提交所有服务报告及测试记录。</w:t>
            </w:r>
          </w:p>
        </w:tc>
        <w:tc>
          <w:tcPr>
            <w:tcW w:w="657" w:type="dxa"/>
            <w:vMerge w:val="continue"/>
            <w:noWrap/>
            <w:tcMar>
              <w:top w:w="15" w:type="dxa"/>
              <w:left w:w="15" w:type="dxa"/>
              <w:right w:w="15" w:type="dxa"/>
            </w:tcMar>
            <w:vAlign w:val="center"/>
          </w:tcPr>
          <w:p w14:paraId="1EC91D32">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4AEEE62F">
            <w:pPr>
              <w:ind w:firstLine="400" w:firstLineChars="200"/>
              <w:jc w:val="center"/>
              <w:rPr>
                <w:rFonts w:ascii="宋体" w:hAnsi="宋体" w:cs="宋体"/>
                <w:color w:val="auto"/>
                <w:sz w:val="20"/>
              </w:rPr>
            </w:pPr>
          </w:p>
        </w:tc>
      </w:tr>
      <w:tr w14:paraId="49BB9D06">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159A50F1">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071A7109">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74A16D71">
            <w:pPr>
              <w:ind w:firstLine="400" w:firstLineChars="200"/>
              <w:textAlignment w:val="center"/>
              <w:rPr>
                <w:rFonts w:ascii="宋体" w:hAnsi="宋体" w:cs="宋体"/>
                <w:color w:val="auto"/>
                <w:sz w:val="20"/>
              </w:rPr>
            </w:pPr>
            <w:r>
              <w:rPr>
                <w:rFonts w:hint="eastAsia" w:ascii="宋体" w:hAnsi="宋体" w:cs="宋体"/>
                <w:color w:val="auto"/>
                <w:sz w:val="20"/>
              </w:rPr>
              <w:t>17) 向用户汇报任何异常情况，并提出解决方案。</w:t>
            </w:r>
          </w:p>
        </w:tc>
        <w:tc>
          <w:tcPr>
            <w:tcW w:w="657" w:type="dxa"/>
            <w:vMerge w:val="continue"/>
            <w:noWrap/>
            <w:tcMar>
              <w:top w:w="15" w:type="dxa"/>
              <w:left w:w="15" w:type="dxa"/>
              <w:right w:w="15" w:type="dxa"/>
            </w:tcMar>
            <w:vAlign w:val="center"/>
          </w:tcPr>
          <w:p w14:paraId="7961B483">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0AB635F1">
            <w:pPr>
              <w:ind w:firstLine="400" w:firstLineChars="200"/>
              <w:jc w:val="center"/>
              <w:rPr>
                <w:rFonts w:ascii="宋体" w:hAnsi="宋体" w:cs="宋体"/>
                <w:color w:val="auto"/>
                <w:sz w:val="20"/>
              </w:rPr>
            </w:pPr>
          </w:p>
        </w:tc>
      </w:tr>
      <w:tr w14:paraId="74EBD295">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restart"/>
            <w:tcMar>
              <w:top w:w="15" w:type="dxa"/>
              <w:left w:w="15" w:type="dxa"/>
              <w:right w:w="15" w:type="dxa"/>
            </w:tcMar>
            <w:vAlign w:val="center"/>
          </w:tcPr>
          <w:p w14:paraId="6455EDA5">
            <w:pPr>
              <w:jc w:val="center"/>
              <w:textAlignment w:val="center"/>
              <w:rPr>
                <w:rFonts w:ascii="宋体" w:hAnsi="宋体" w:cs="宋体"/>
                <w:color w:val="auto"/>
                <w:sz w:val="20"/>
              </w:rPr>
            </w:pPr>
            <w:r>
              <w:rPr>
                <w:rFonts w:hint="eastAsia" w:ascii="宋体" w:hAnsi="宋体" w:cs="宋体"/>
                <w:color w:val="auto"/>
                <w:sz w:val="20"/>
              </w:rPr>
              <w:t>2</w:t>
            </w:r>
          </w:p>
        </w:tc>
        <w:tc>
          <w:tcPr>
            <w:tcW w:w="1447" w:type="dxa"/>
            <w:vMerge w:val="restart"/>
            <w:noWrap/>
            <w:tcMar>
              <w:top w:w="15" w:type="dxa"/>
              <w:left w:w="15" w:type="dxa"/>
              <w:right w:w="15" w:type="dxa"/>
            </w:tcMar>
            <w:vAlign w:val="center"/>
          </w:tcPr>
          <w:p w14:paraId="415462C6">
            <w:pPr>
              <w:jc w:val="left"/>
              <w:textAlignment w:val="center"/>
              <w:rPr>
                <w:rFonts w:ascii="宋体" w:hAnsi="宋体" w:cs="宋体"/>
                <w:color w:val="auto"/>
                <w:sz w:val="20"/>
              </w:rPr>
            </w:pPr>
            <w:r>
              <w:rPr>
                <w:rFonts w:hint="eastAsia" w:ascii="宋体" w:hAnsi="宋体" w:cs="宋体"/>
                <w:color w:val="auto"/>
                <w:sz w:val="20"/>
              </w:rPr>
              <w:t>消防报警及灭火系统</w:t>
            </w:r>
          </w:p>
        </w:tc>
        <w:tc>
          <w:tcPr>
            <w:tcW w:w="6069" w:type="dxa"/>
            <w:tcMar>
              <w:top w:w="15" w:type="dxa"/>
              <w:left w:w="15" w:type="dxa"/>
              <w:right w:w="15" w:type="dxa"/>
            </w:tcMar>
            <w:vAlign w:val="center"/>
          </w:tcPr>
          <w:p w14:paraId="42A24DED">
            <w:pPr>
              <w:ind w:firstLine="400" w:firstLineChars="200"/>
              <w:textAlignment w:val="center"/>
              <w:rPr>
                <w:rFonts w:ascii="宋体" w:hAnsi="宋体" w:cs="宋体"/>
                <w:color w:val="auto"/>
                <w:sz w:val="20"/>
              </w:rPr>
            </w:pPr>
            <w:r>
              <w:rPr>
                <w:rFonts w:hint="eastAsia" w:ascii="宋体" w:hAnsi="宋体" w:cs="宋体"/>
                <w:color w:val="auto"/>
                <w:sz w:val="20"/>
              </w:rPr>
              <w:t>1）灭火控制器的自检和备用电池检测，若备用电池寿命到期，须更换备用电池，报价中应包含备用电池费用。</w:t>
            </w:r>
          </w:p>
        </w:tc>
        <w:tc>
          <w:tcPr>
            <w:tcW w:w="657" w:type="dxa"/>
            <w:vMerge w:val="restart"/>
            <w:noWrap/>
            <w:tcMar>
              <w:top w:w="15" w:type="dxa"/>
              <w:left w:w="15" w:type="dxa"/>
              <w:right w:w="15" w:type="dxa"/>
            </w:tcMar>
            <w:vAlign w:val="center"/>
          </w:tcPr>
          <w:p w14:paraId="0E2B3D05">
            <w:pPr>
              <w:ind w:firstLine="124" w:firstLineChars="62"/>
              <w:jc w:val="center"/>
              <w:textAlignment w:val="center"/>
              <w:rPr>
                <w:rFonts w:ascii="宋体" w:hAnsi="宋体" w:cs="宋体"/>
                <w:color w:val="auto"/>
                <w:sz w:val="20"/>
              </w:rPr>
            </w:pPr>
            <w:r>
              <w:rPr>
                <w:rFonts w:hint="eastAsia" w:ascii="宋体" w:hAnsi="宋体" w:cs="宋体"/>
                <w:color w:val="auto"/>
                <w:sz w:val="20"/>
              </w:rPr>
              <w:t>1</w:t>
            </w:r>
          </w:p>
        </w:tc>
        <w:tc>
          <w:tcPr>
            <w:tcW w:w="657" w:type="dxa"/>
            <w:vMerge w:val="restart"/>
            <w:noWrap/>
            <w:tcMar>
              <w:top w:w="15" w:type="dxa"/>
              <w:left w:w="15" w:type="dxa"/>
              <w:right w:w="15" w:type="dxa"/>
            </w:tcMar>
            <w:vAlign w:val="center"/>
          </w:tcPr>
          <w:p w14:paraId="0E8D2520">
            <w:pPr>
              <w:jc w:val="center"/>
              <w:textAlignment w:val="center"/>
              <w:rPr>
                <w:rFonts w:ascii="宋体" w:hAnsi="宋体" w:cs="宋体"/>
                <w:color w:val="auto"/>
                <w:sz w:val="20"/>
              </w:rPr>
            </w:pPr>
            <w:r>
              <w:rPr>
                <w:rFonts w:hint="eastAsia" w:ascii="宋体" w:hAnsi="宋体" w:cs="宋体"/>
                <w:color w:val="auto"/>
                <w:sz w:val="20"/>
              </w:rPr>
              <w:t>项</w:t>
            </w:r>
          </w:p>
        </w:tc>
      </w:tr>
      <w:tr w14:paraId="596376D5">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4210B03B">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2D9E1B58">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4634E1B5">
            <w:pPr>
              <w:ind w:firstLine="400" w:firstLineChars="200"/>
              <w:textAlignment w:val="center"/>
              <w:rPr>
                <w:rFonts w:ascii="宋体" w:hAnsi="宋体" w:cs="宋体"/>
                <w:color w:val="auto"/>
                <w:sz w:val="20"/>
              </w:rPr>
            </w:pPr>
            <w:r>
              <w:rPr>
                <w:rFonts w:hint="eastAsia" w:ascii="宋体" w:hAnsi="宋体" w:cs="宋体"/>
                <w:color w:val="auto"/>
                <w:sz w:val="20"/>
              </w:rPr>
              <w:t>2）自动报警装置的调试测试、维修和更换配件。</w:t>
            </w:r>
          </w:p>
        </w:tc>
        <w:tc>
          <w:tcPr>
            <w:tcW w:w="657" w:type="dxa"/>
            <w:vMerge w:val="continue"/>
            <w:noWrap/>
            <w:tcMar>
              <w:top w:w="15" w:type="dxa"/>
              <w:left w:w="15" w:type="dxa"/>
              <w:right w:w="15" w:type="dxa"/>
            </w:tcMar>
            <w:vAlign w:val="center"/>
          </w:tcPr>
          <w:p w14:paraId="717CF4A1">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3CA214FD">
            <w:pPr>
              <w:ind w:firstLine="400" w:firstLineChars="200"/>
              <w:jc w:val="center"/>
              <w:rPr>
                <w:rFonts w:ascii="宋体" w:hAnsi="宋体" w:cs="宋体"/>
                <w:color w:val="auto"/>
                <w:sz w:val="20"/>
              </w:rPr>
            </w:pPr>
          </w:p>
        </w:tc>
      </w:tr>
      <w:tr w14:paraId="25DDEC80">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41F76F18">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5F21F684">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10929097">
            <w:pPr>
              <w:ind w:firstLine="400" w:firstLineChars="200"/>
              <w:textAlignment w:val="center"/>
              <w:rPr>
                <w:rFonts w:ascii="宋体" w:hAnsi="宋体" w:cs="宋体"/>
                <w:color w:val="auto"/>
                <w:sz w:val="20"/>
              </w:rPr>
            </w:pPr>
            <w:r>
              <w:rPr>
                <w:rFonts w:hint="eastAsia" w:ascii="宋体" w:hAnsi="宋体" w:cs="宋体"/>
                <w:color w:val="auto"/>
                <w:sz w:val="20"/>
              </w:rPr>
              <w:t>3）声光报警器报警、指示灯接收信号亮灯、电磁阀检查保修和更换配件。</w:t>
            </w:r>
          </w:p>
        </w:tc>
        <w:tc>
          <w:tcPr>
            <w:tcW w:w="657" w:type="dxa"/>
            <w:vMerge w:val="continue"/>
            <w:noWrap/>
            <w:tcMar>
              <w:top w:w="15" w:type="dxa"/>
              <w:left w:w="15" w:type="dxa"/>
              <w:right w:w="15" w:type="dxa"/>
            </w:tcMar>
            <w:vAlign w:val="center"/>
          </w:tcPr>
          <w:p w14:paraId="493D5C10">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4FFC556D">
            <w:pPr>
              <w:ind w:firstLine="400" w:firstLineChars="200"/>
              <w:jc w:val="center"/>
              <w:rPr>
                <w:rFonts w:ascii="宋体" w:hAnsi="宋体" w:cs="宋体"/>
                <w:color w:val="auto"/>
                <w:sz w:val="20"/>
              </w:rPr>
            </w:pPr>
          </w:p>
        </w:tc>
      </w:tr>
      <w:tr w14:paraId="10509028">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430AEAF2">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63817697">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23AEF14B">
            <w:pPr>
              <w:ind w:firstLine="400" w:firstLineChars="200"/>
              <w:textAlignment w:val="center"/>
              <w:rPr>
                <w:rFonts w:ascii="宋体" w:hAnsi="宋体" w:cs="宋体"/>
                <w:color w:val="auto"/>
                <w:sz w:val="20"/>
              </w:rPr>
            </w:pPr>
            <w:r>
              <w:rPr>
                <w:rFonts w:hint="eastAsia" w:ascii="宋体" w:hAnsi="宋体" w:cs="宋体"/>
                <w:color w:val="auto"/>
                <w:sz w:val="20"/>
              </w:rPr>
              <w:t>4）压力检测(绿色值范围内)。</w:t>
            </w:r>
          </w:p>
        </w:tc>
        <w:tc>
          <w:tcPr>
            <w:tcW w:w="657" w:type="dxa"/>
            <w:vMerge w:val="continue"/>
            <w:noWrap/>
            <w:tcMar>
              <w:top w:w="15" w:type="dxa"/>
              <w:left w:w="15" w:type="dxa"/>
              <w:right w:w="15" w:type="dxa"/>
            </w:tcMar>
            <w:vAlign w:val="center"/>
          </w:tcPr>
          <w:p w14:paraId="1AD3B3C0">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1FB57AEE">
            <w:pPr>
              <w:ind w:firstLine="400" w:firstLineChars="200"/>
              <w:jc w:val="center"/>
              <w:rPr>
                <w:rFonts w:ascii="宋体" w:hAnsi="宋体" w:cs="宋体"/>
                <w:color w:val="auto"/>
                <w:sz w:val="20"/>
              </w:rPr>
            </w:pPr>
          </w:p>
        </w:tc>
      </w:tr>
      <w:tr w14:paraId="2CAB4688">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273180E3">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2245BDF5">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1A26655E">
            <w:pPr>
              <w:ind w:firstLine="400" w:firstLineChars="200"/>
              <w:textAlignment w:val="center"/>
              <w:rPr>
                <w:rFonts w:ascii="宋体" w:hAnsi="宋体" w:cs="宋体"/>
                <w:color w:val="auto"/>
                <w:sz w:val="20"/>
              </w:rPr>
            </w:pPr>
            <w:r>
              <w:rPr>
                <w:rFonts w:hint="eastAsia" w:ascii="宋体" w:hAnsi="宋体" w:cs="宋体"/>
                <w:color w:val="auto"/>
                <w:sz w:val="20"/>
              </w:rPr>
              <w:t>5）消防联动测试、系统动作实验。</w:t>
            </w:r>
          </w:p>
        </w:tc>
        <w:tc>
          <w:tcPr>
            <w:tcW w:w="657" w:type="dxa"/>
            <w:vMerge w:val="continue"/>
            <w:noWrap/>
            <w:tcMar>
              <w:top w:w="15" w:type="dxa"/>
              <w:left w:w="15" w:type="dxa"/>
              <w:right w:w="15" w:type="dxa"/>
            </w:tcMar>
            <w:vAlign w:val="center"/>
          </w:tcPr>
          <w:p w14:paraId="6E95FB2C">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50280877">
            <w:pPr>
              <w:ind w:firstLine="400" w:firstLineChars="200"/>
              <w:jc w:val="center"/>
              <w:rPr>
                <w:rFonts w:ascii="宋体" w:hAnsi="宋体" w:cs="宋体"/>
                <w:color w:val="auto"/>
                <w:sz w:val="20"/>
              </w:rPr>
            </w:pPr>
          </w:p>
        </w:tc>
      </w:tr>
      <w:tr w14:paraId="65FE67AF">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49C64A7B">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217A5B31">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191540E9">
            <w:pPr>
              <w:ind w:firstLine="400" w:firstLineChars="200"/>
              <w:textAlignment w:val="center"/>
              <w:rPr>
                <w:rFonts w:ascii="宋体" w:hAnsi="宋体" w:cs="宋体"/>
                <w:color w:val="auto"/>
                <w:sz w:val="20"/>
              </w:rPr>
            </w:pPr>
            <w:r>
              <w:rPr>
                <w:rFonts w:hint="eastAsia" w:ascii="宋体" w:hAnsi="宋体" w:cs="宋体"/>
                <w:color w:val="auto"/>
                <w:sz w:val="20"/>
              </w:rPr>
              <w:t>6）烟感、温感、启动瓶检查维修。</w:t>
            </w:r>
          </w:p>
        </w:tc>
        <w:tc>
          <w:tcPr>
            <w:tcW w:w="657" w:type="dxa"/>
            <w:vMerge w:val="continue"/>
            <w:noWrap/>
            <w:tcMar>
              <w:top w:w="15" w:type="dxa"/>
              <w:left w:w="15" w:type="dxa"/>
              <w:right w:w="15" w:type="dxa"/>
            </w:tcMar>
            <w:vAlign w:val="center"/>
          </w:tcPr>
          <w:p w14:paraId="69DCE3BB">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1CFEE579">
            <w:pPr>
              <w:ind w:firstLine="400" w:firstLineChars="200"/>
              <w:jc w:val="center"/>
              <w:rPr>
                <w:rFonts w:ascii="宋体" w:hAnsi="宋体" w:cs="宋体"/>
                <w:color w:val="auto"/>
                <w:sz w:val="20"/>
              </w:rPr>
            </w:pPr>
          </w:p>
        </w:tc>
      </w:tr>
      <w:tr w14:paraId="38429853">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3242DE6B">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67C899D8">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5EDCCAAE">
            <w:pPr>
              <w:ind w:firstLine="400" w:firstLineChars="200"/>
              <w:textAlignment w:val="center"/>
              <w:rPr>
                <w:rFonts w:ascii="宋体" w:hAnsi="宋体" w:cs="宋体"/>
                <w:color w:val="auto"/>
                <w:sz w:val="20"/>
              </w:rPr>
            </w:pPr>
            <w:r>
              <w:rPr>
                <w:rFonts w:hint="eastAsia" w:ascii="宋体" w:hAnsi="宋体" w:cs="宋体"/>
                <w:color w:val="auto"/>
                <w:sz w:val="20"/>
              </w:rPr>
              <w:t>7）气溶胶灭火剂瓶组储压检测。</w:t>
            </w:r>
          </w:p>
        </w:tc>
        <w:tc>
          <w:tcPr>
            <w:tcW w:w="657" w:type="dxa"/>
            <w:vMerge w:val="continue"/>
            <w:noWrap/>
            <w:tcMar>
              <w:top w:w="15" w:type="dxa"/>
              <w:left w:w="15" w:type="dxa"/>
              <w:right w:w="15" w:type="dxa"/>
            </w:tcMar>
            <w:vAlign w:val="center"/>
          </w:tcPr>
          <w:p w14:paraId="111B662E">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68C86076">
            <w:pPr>
              <w:ind w:firstLine="400" w:firstLineChars="200"/>
              <w:jc w:val="center"/>
              <w:rPr>
                <w:rFonts w:ascii="宋体" w:hAnsi="宋体" w:cs="宋体"/>
                <w:color w:val="auto"/>
                <w:sz w:val="20"/>
              </w:rPr>
            </w:pPr>
          </w:p>
        </w:tc>
      </w:tr>
      <w:tr w14:paraId="4E8936A9">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3A61BEFC">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2A193865">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2A0981AA">
            <w:pPr>
              <w:ind w:firstLine="400" w:firstLineChars="200"/>
              <w:textAlignment w:val="center"/>
              <w:rPr>
                <w:rFonts w:ascii="宋体" w:hAnsi="宋体" w:cs="宋体"/>
                <w:color w:val="auto"/>
                <w:sz w:val="20"/>
              </w:rPr>
            </w:pPr>
            <w:r>
              <w:rPr>
                <w:rFonts w:hint="eastAsia" w:ascii="宋体" w:hAnsi="宋体" w:cs="宋体"/>
                <w:color w:val="auto"/>
                <w:sz w:val="20"/>
              </w:rPr>
              <w:t>8）二氧化碳灭火器使用寿命检查和更换。</w:t>
            </w:r>
          </w:p>
        </w:tc>
        <w:tc>
          <w:tcPr>
            <w:tcW w:w="657" w:type="dxa"/>
            <w:vMerge w:val="continue"/>
            <w:noWrap/>
            <w:tcMar>
              <w:top w:w="15" w:type="dxa"/>
              <w:left w:w="15" w:type="dxa"/>
              <w:right w:w="15" w:type="dxa"/>
            </w:tcMar>
            <w:vAlign w:val="center"/>
          </w:tcPr>
          <w:p w14:paraId="3FE57C1E">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65F63A58">
            <w:pPr>
              <w:ind w:firstLine="400" w:firstLineChars="200"/>
              <w:jc w:val="center"/>
              <w:rPr>
                <w:rFonts w:ascii="宋体" w:hAnsi="宋体" w:cs="宋体"/>
                <w:color w:val="auto"/>
                <w:sz w:val="20"/>
              </w:rPr>
            </w:pPr>
          </w:p>
        </w:tc>
      </w:tr>
      <w:tr w14:paraId="678C97EB">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vMerge w:val="continue"/>
            <w:tcMar>
              <w:top w:w="15" w:type="dxa"/>
              <w:left w:w="15" w:type="dxa"/>
              <w:right w:w="15" w:type="dxa"/>
            </w:tcMar>
            <w:vAlign w:val="center"/>
          </w:tcPr>
          <w:p w14:paraId="17BA7219">
            <w:pPr>
              <w:ind w:firstLine="400" w:firstLineChars="200"/>
              <w:jc w:val="center"/>
              <w:rPr>
                <w:rFonts w:ascii="宋体" w:hAnsi="宋体" w:cs="宋体"/>
                <w:color w:val="auto"/>
                <w:sz w:val="20"/>
              </w:rPr>
            </w:pPr>
          </w:p>
        </w:tc>
        <w:tc>
          <w:tcPr>
            <w:tcW w:w="1447" w:type="dxa"/>
            <w:vMerge w:val="continue"/>
            <w:noWrap/>
            <w:tcMar>
              <w:top w:w="15" w:type="dxa"/>
              <w:left w:w="15" w:type="dxa"/>
              <w:right w:w="15" w:type="dxa"/>
            </w:tcMar>
            <w:vAlign w:val="center"/>
          </w:tcPr>
          <w:p w14:paraId="0E6BAA8C">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537D6FB4">
            <w:pPr>
              <w:ind w:firstLine="400" w:firstLineChars="200"/>
              <w:textAlignment w:val="center"/>
              <w:rPr>
                <w:rFonts w:ascii="宋体" w:hAnsi="宋体" w:cs="宋体"/>
                <w:color w:val="auto"/>
                <w:sz w:val="20"/>
              </w:rPr>
            </w:pPr>
            <w:r>
              <w:rPr>
                <w:rFonts w:hint="eastAsia" w:ascii="宋体" w:hAnsi="宋体" w:cs="宋体"/>
                <w:color w:val="auto"/>
                <w:sz w:val="20"/>
              </w:rPr>
              <w:t>9）悬挂标志牌是否正常工作。</w:t>
            </w:r>
          </w:p>
        </w:tc>
        <w:tc>
          <w:tcPr>
            <w:tcW w:w="657" w:type="dxa"/>
            <w:vMerge w:val="continue"/>
            <w:noWrap/>
            <w:tcMar>
              <w:top w:w="15" w:type="dxa"/>
              <w:left w:w="15" w:type="dxa"/>
              <w:right w:w="15" w:type="dxa"/>
            </w:tcMar>
            <w:vAlign w:val="center"/>
          </w:tcPr>
          <w:p w14:paraId="4BF80E43">
            <w:pPr>
              <w:ind w:firstLine="400" w:firstLineChars="200"/>
              <w:jc w:val="center"/>
              <w:rPr>
                <w:rFonts w:ascii="宋体" w:hAnsi="宋体" w:cs="宋体"/>
                <w:color w:val="auto"/>
                <w:sz w:val="20"/>
              </w:rPr>
            </w:pPr>
          </w:p>
        </w:tc>
        <w:tc>
          <w:tcPr>
            <w:tcW w:w="657" w:type="dxa"/>
            <w:vMerge w:val="continue"/>
            <w:noWrap/>
            <w:tcMar>
              <w:top w:w="15" w:type="dxa"/>
              <w:left w:w="15" w:type="dxa"/>
              <w:right w:w="15" w:type="dxa"/>
            </w:tcMar>
            <w:vAlign w:val="center"/>
          </w:tcPr>
          <w:p w14:paraId="56411B58">
            <w:pPr>
              <w:ind w:firstLine="400" w:firstLineChars="200"/>
              <w:jc w:val="center"/>
              <w:rPr>
                <w:rFonts w:ascii="宋体" w:hAnsi="宋体" w:cs="宋体"/>
                <w:color w:val="auto"/>
                <w:sz w:val="20"/>
              </w:rPr>
            </w:pPr>
          </w:p>
        </w:tc>
      </w:tr>
      <w:tr w14:paraId="7B5513BF">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08" w:type="dxa"/>
            <w:tcMar>
              <w:top w:w="15" w:type="dxa"/>
              <w:left w:w="15" w:type="dxa"/>
              <w:right w:w="15" w:type="dxa"/>
            </w:tcMar>
            <w:vAlign w:val="center"/>
          </w:tcPr>
          <w:p w14:paraId="041E00C7">
            <w:pPr>
              <w:ind w:firstLine="400" w:firstLineChars="200"/>
              <w:jc w:val="center"/>
              <w:rPr>
                <w:rFonts w:ascii="宋体" w:hAnsi="宋体" w:cs="宋体"/>
                <w:color w:val="auto"/>
                <w:sz w:val="20"/>
              </w:rPr>
            </w:pPr>
          </w:p>
        </w:tc>
        <w:tc>
          <w:tcPr>
            <w:tcW w:w="1447" w:type="dxa"/>
            <w:tcMar>
              <w:top w:w="15" w:type="dxa"/>
              <w:left w:w="15" w:type="dxa"/>
              <w:right w:w="15" w:type="dxa"/>
            </w:tcMar>
            <w:vAlign w:val="center"/>
          </w:tcPr>
          <w:p w14:paraId="57D4D910">
            <w:pPr>
              <w:ind w:firstLine="400" w:firstLineChars="200"/>
              <w:jc w:val="left"/>
              <w:rPr>
                <w:rFonts w:ascii="宋体" w:hAnsi="宋体" w:cs="宋体"/>
                <w:color w:val="auto"/>
                <w:sz w:val="20"/>
              </w:rPr>
            </w:pPr>
          </w:p>
        </w:tc>
        <w:tc>
          <w:tcPr>
            <w:tcW w:w="6069" w:type="dxa"/>
            <w:tcMar>
              <w:top w:w="15" w:type="dxa"/>
              <w:left w:w="15" w:type="dxa"/>
              <w:right w:w="15" w:type="dxa"/>
            </w:tcMar>
            <w:vAlign w:val="center"/>
          </w:tcPr>
          <w:p w14:paraId="540931CB">
            <w:pPr>
              <w:ind w:firstLine="400" w:firstLineChars="200"/>
              <w:textAlignment w:val="center"/>
              <w:rPr>
                <w:rFonts w:ascii="宋体" w:hAnsi="宋体" w:cs="宋体"/>
                <w:color w:val="auto"/>
                <w:sz w:val="20"/>
              </w:rPr>
            </w:pPr>
          </w:p>
        </w:tc>
        <w:tc>
          <w:tcPr>
            <w:tcW w:w="657" w:type="dxa"/>
            <w:noWrap/>
            <w:tcMar>
              <w:top w:w="15" w:type="dxa"/>
              <w:left w:w="15" w:type="dxa"/>
              <w:right w:w="15" w:type="dxa"/>
            </w:tcMar>
            <w:vAlign w:val="center"/>
          </w:tcPr>
          <w:p w14:paraId="23F515F5">
            <w:pPr>
              <w:ind w:firstLine="400" w:firstLineChars="200"/>
              <w:jc w:val="center"/>
              <w:rPr>
                <w:rFonts w:ascii="宋体" w:hAnsi="宋体" w:cs="宋体"/>
                <w:color w:val="auto"/>
                <w:sz w:val="20"/>
              </w:rPr>
            </w:pPr>
          </w:p>
        </w:tc>
        <w:tc>
          <w:tcPr>
            <w:tcW w:w="657" w:type="dxa"/>
            <w:noWrap/>
            <w:tcMar>
              <w:top w:w="15" w:type="dxa"/>
              <w:left w:w="15" w:type="dxa"/>
              <w:right w:w="15" w:type="dxa"/>
            </w:tcMar>
            <w:vAlign w:val="center"/>
          </w:tcPr>
          <w:p w14:paraId="134D9959">
            <w:pPr>
              <w:ind w:firstLine="400" w:firstLineChars="200"/>
              <w:jc w:val="center"/>
              <w:rPr>
                <w:rFonts w:ascii="宋体" w:hAnsi="宋体" w:cs="宋体"/>
                <w:color w:val="auto"/>
                <w:sz w:val="20"/>
              </w:rPr>
            </w:pPr>
          </w:p>
        </w:tc>
      </w:tr>
    </w:tbl>
    <w:p w14:paraId="55772765">
      <w:pPr>
        <w:ind w:firstLine="420" w:firstLineChars="200"/>
        <w:rPr>
          <w:color w:val="auto"/>
        </w:rPr>
      </w:pPr>
    </w:p>
    <w:p w14:paraId="2D12E7AE">
      <w:pPr>
        <w:spacing w:line="360" w:lineRule="auto"/>
        <w:rPr>
          <w:b/>
          <w:color w:val="auto"/>
          <w:sz w:val="24"/>
          <w:szCs w:val="24"/>
        </w:rPr>
      </w:pPr>
      <w:r>
        <w:rPr>
          <w:rFonts w:hint="eastAsia"/>
          <w:b/>
          <w:color w:val="auto"/>
          <w:sz w:val="24"/>
          <w:szCs w:val="24"/>
        </w:rPr>
        <w:t>2、维保服务要求：</w:t>
      </w:r>
    </w:p>
    <w:p w14:paraId="0A62E6FE">
      <w:pPr>
        <w:spacing w:line="360" w:lineRule="auto"/>
        <w:ind w:firstLine="480" w:firstLineChars="200"/>
        <w:rPr>
          <w:color w:val="auto"/>
          <w:sz w:val="24"/>
          <w:szCs w:val="24"/>
        </w:rPr>
      </w:pPr>
      <w:r>
        <w:rPr>
          <w:rFonts w:hint="eastAsia"/>
          <w:color w:val="auto"/>
          <w:sz w:val="24"/>
          <w:szCs w:val="24"/>
        </w:rPr>
        <w:t>中标单位须为学校机房空气调节系统、消防报警及灭火系统设备及系统提供两年维保。在此维保期内，须为机房设备及系统提供定期保养、紧急抢修、备件供应等服务。具体内容包括：</w:t>
      </w:r>
    </w:p>
    <w:p w14:paraId="773EC1E7">
      <w:pPr>
        <w:spacing w:line="360" w:lineRule="auto"/>
        <w:ind w:firstLine="480" w:firstLineChars="200"/>
        <w:rPr>
          <w:color w:val="auto"/>
          <w:sz w:val="24"/>
          <w:szCs w:val="24"/>
        </w:rPr>
      </w:pPr>
      <w:r>
        <w:rPr>
          <w:rFonts w:hint="eastAsia"/>
          <w:color w:val="auto"/>
          <w:sz w:val="24"/>
          <w:szCs w:val="24"/>
        </w:rPr>
        <w:t xml:space="preserve">  2.1  定期维护保养</w:t>
      </w:r>
    </w:p>
    <w:p w14:paraId="05D742CD">
      <w:pPr>
        <w:spacing w:line="360" w:lineRule="auto"/>
        <w:ind w:firstLine="480" w:firstLineChars="200"/>
        <w:rPr>
          <w:color w:val="auto"/>
          <w:sz w:val="24"/>
          <w:szCs w:val="24"/>
        </w:rPr>
      </w:pPr>
      <w:r>
        <w:rPr>
          <w:rFonts w:hint="eastAsia"/>
          <w:color w:val="auto"/>
          <w:sz w:val="24"/>
          <w:szCs w:val="24"/>
        </w:rPr>
        <w:t>在维保期内，对机房空气调节系统、消防报警及灭火系统按维保内容，按季度进行全面的检修和维护，现场解决设备运行中出现的各种问题，保证系统全年正常运行。以上维保内容中，除了明确半年或一年进行清洗和更换配件的，均按季度进行检测和更换配件，此次采购服务费用包含所有故障配件免费维修或更换（包括冷冻油、制冷剂、加湿罐、过滤网、备用电池等）。</w:t>
      </w:r>
    </w:p>
    <w:p w14:paraId="1D1E607E">
      <w:pPr>
        <w:spacing w:line="360" w:lineRule="auto"/>
        <w:ind w:firstLine="480" w:firstLineChars="200"/>
        <w:rPr>
          <w:color w:val="auto"/>
          <w:sz w:val="24"/>
          <w:szCs w:val="24"/>
        </w:rPr>
      </w:pPr>
      <w:r>
        <w:rPr>
          <w:rFonts w:hint="eastAsia"/>
          <w:color w:val="auto"/>
          <w:sz w:val="24"/>
          <w:szCs w:val="24"/>
        </w:rPr>
        <w:t xml:space="preserve">  2.2  故障响应及处理</w:t>
      </w:r>
    </w:p>
    <w:p w14:paraId="48E2E6CA">
      <w:pPr>
        <w:spacing w:line="360" w:lineRule="auto"/>
        <w:ind w:firstLine="480" w:firstLineChars="200"/>
        <w:rPr>
          <w:rFonts w:ascii="宋体"/>
          <w:b/>
          <w:color w:val="auto"/>
          <w:sz w:val="32"/>
          <w:szCs w:val="32"/>
        </w:rPr>
      </w:pPr>
      <w:r>
        <w:rPr>
          <w:rFonts w:hint="eastAsia"/>
          <w:color w:val="auto"/>
          <w:sz w:val="24"/>
          <w:szCs w:val="24"/>
        </w:rPr>
        <w:t>需保持长期的服务跟踪，随时保证维修人员及时到位。设备运行中发生故障，响应时间为7×24小时，出现故障时，工程师在接到报修后10分钟内立即响应，</w:t>
      </w:r>
      <w:r>
        <w:rPr>
          <w:rFonts w:hint="eastAsia"/>
          <w:color w:val="auto"/>
          <w:sz w:val="24"/>
          <w:szCs w:val="24"/>
          <w:lang w:val="en-US" w:eastAsia="zh-CN"/>
        </w:rPr>
        <w:t>1</w:t>
      </w:r>
      <w:r>
        <w:rPr>
          <w:rFonts w:hint="eastAsia"/>
          <w:color w:val="auto"/>
          <w:sz w:val="24"/>
          <w:szCs w:val="24"/>
        </w:rPr>
        <w:t>小时内赶到现场进行维修，一般故障2小时内排除，重要故障（重要故障指影响到业务系统运行）4小时内排除。</w:t>
      </w:r>
    </w:p>
    <w:p w14:paraId="7CDE9195">
      <w:pPr>
        <w:spacing w:beforeLines="50" w:afterLines="50" w:line="440" w:lineRule="exact"/>
        <w:jc w:val="center"/>
        <w:textAlignment w:val="auto"/>
        <w:outlineLvl w:val="0"/>
        <w:rPr>
          <w:rFonts w:hint="eastAsia" w:ascii="宋体"/>
          <w:b/>
          <w:color w:val="auto"/>
          <w:sz w:val="32"/>
          <w:szCs w:val="32"/>
        </w:rPr>
      </w:pPr>
    </w:p>
    <w:p w14:paraId="44DC9D12">
      <w:pPr>
        <w:spacing w:beforeLines="50" w:afterLines="50" w:line="440" w:lineRule="exact"/>
        <w:jc w:val="center"/>
        <w:textAlignment w:val="auto"/>
        <w:outlineLvl w:val="0"/>
        <w:rPr>
          <w:rFonts w:ascii="宋体"/>
          <w:b/>
          <w:color w:val="auto"/>
          <w:sz w:val="30"/>
          <w:szCs w:val="30"/>
        </w:rPr>
      </w:pPr>
      <w:r>
        <w:rPr>
          <w:rFonts w:hint="eastAsia" w:ascii="宋体"/>
          <w:b/>
          <w:color w:val="auto"/>
          <w:sz w:val="32"/>
          <w:szCs w:val="32"/>
        </w:rPr>
        <w:t>第五章  合同条款及格式参考范本</w:t>
      </w:r>
      <w:bookmarkStart w:id="108" w:name="_Toc58430330"/>
    </w:p>
    <w:p w14:paraId="7D7E229F">
      <w:pPr>
        <w:spacing w:line="440" w:lineRule="exact"/>
        <w:ind w:left="360"/>
        <w:jc w:val="center"/>
        <w:outlineLvl w:val="1"/>
        <w:rPr>
          <w:rFonts w:ascii="黑体" w:eastAsia="黑体"/>
          <w:b/>
          <w:color w:val="auto"/>
          <w:sz w:val="30"/>
          <w:szCs w:val="30"/>
        </w:rPr>
      </w:pPr>
      <w:r>
        <w:rPr>
          <w:rFonts w:hint="eastAsia" w:ascii="宋体"/>
          <w:b/>
          <w:color w:val="auto"/>
          <w:sz w:val="30"/>
          <w:szCs w:val="30"/>
        </w:rPr>
        <w:t>一、合同协议书（格式）</w:t>
      </w:r>
    </w:p>
    <w:p w14:paraId="5CFDEDEA">
      <w:pPr>
        <w:spacing w:line="440" w:lineRule="exact"/>
        <w:ind w:firstLine="3795" w:firstLineChars="1350"/>
        <w:rPr>
          <w:rFonts w:ascii="宋体"/>
          <w:color w:val="auto"/>
          <w:sz w:val="28"/>
          <w:szCs w:val="28"/>
        </w:rPr>
      </w:pPr>
      <w:r>
        <w:rPr>
          <w:rFonts w:hint="eastAsia" w:ascii="宋体"/>
          <w:b/>
          <w:color w:val="auto"/>
          <w:sz w:val="28"/>
          <w:szCs w:val="28"/>
        </w:rPr>
        <w:t xml:space="preserve">合同名称   </w:t>
      </w:r>
      <w:r>
        <w:rPr>
          <w:rFonts w:hint="eastAsia" w:ascii="宋体"/>
          <w:color w:val="auto"/>
          <w:sz w:val="28"/>
          <w:szCs w:val="28"/>
        </w:rPr>
        <w:t xml:space="preserve">          编号</w:t>
      </w:r>
    </w:p>
    <w:p w14:paraId="0B5DAF17">
      <w:pPr>
        <w:spacing w:line="440" w:lineRule="exact"/>
        <w:ind w:firstLine="420" w:firstLineChars="200"/>
        <w:rPr>
          <w:rFonts w:ascii="宋体" w:cs="宋体"/>
          <w:color w:val="auto"/>
          <w:szCs w:val="21"/>
        </w:rPr>
      </w:pPr>
      <w:r>
        <w:rPr>
          <w:rFonts w:hint="eastAsia" w:ascii="宋体" w:cs="宋体"/>
          <w:color w:val="auto"/>
          <w:szCs w:val="21"/>
        </w:rPr>
        <w:t>买    方：                                   卖    方：</w:t>
      </w:r>
    </w:p>
    <w:p w14:paraId="11BB8700">
      <w:pPr>
        <w:spacing w:line="440" w:lineRule="exact"/>
        <w:ind w:firstLine="420" w:firstLineChars="200"/>
        <w:rPr>
          <w:rFonts w:ascii="宋体" w:cs="宋体"/>
          <w:color w:val="auto"/>
          <w:szCs w:val="21"/>
        </w:rPr>
      </w:pPr>
      <w:r>
        <w:rPr>
          <w:rFonts w:hint="eastAsia" w:ascii="宋体" w:cs="宋体"/>
          <w:color w:val="auto"/>
          <w:szCs w:val="21"/>
        </w:rPr>
        <w:t>电    话：                                   电    话：</w:t>
      </w:r>
    </w:p>
    <w:p w14:paraId="56D0B41C">
      <w:pPr>
        <w:spacing w:line="440" w:lineRule="exact"/>
        <w:ind w:firstLine="420" w:firstLineChars="200"/>
        <w:rPr>
          <w:rFonts w:ascii="宋体" w:cs="宋体"/>
          <w:color w:val="auto"/>
          <w:szCs w:val="21"/>
        </w:rPr>
      </w:pPr>
      <w:r>
        <w:rPr>
          <w:rFonts w:hint="eastAsia" w:ascii="宋体" w:cs="宋体"/>
          <w:color w:val="auto"/>
          <w:szCs w:val="21"/>
        </w:rPr>
        <w:t xml:space="preserve">住    所：                                   住    所：                       </w:t>
      </w:r>
    </w:p>
    <w:p w14:paraId="7CBC70C8">
      <w:pPr>
        <w:spacing w:line="440" w:lineRule="exact"/>
        <w:ind w:firstLine="420" w:firstLineChars="200"/>
        <w:rPr>
          <w:rFonts w:ascii="宋体" w:cs="宋体"/>
          <w:color w:val="auto"/>
          <w:szCs w:val="21"/>
        </w:rPr>
      </w:pPr>
      <w:r>
        <w:rPr>
          <w:rFonts w:hint="eastAsia" w:ascii="宋体" w:cs="宋体"/>
          <w:color w:val="auto"/>
          <w:szCs w:val="21"/>
          <w:u w:val="single"/>
        </w:rPr>
        <w:t>（买方）</w:t>
      </w:r>
      <w:r>
        <w:rPr>
          <w:rFonts w:hint="eastAsia" w:ascii="宋体" w:cs="宋体"/>
          <w:color w:val="auto"/>
          <w:szCs w:val="21"/>
        </w:rPr>
        <w:t>的</w:t>
      </w:r>
      <w:r>
        <w:rPr>
          <w:rFonts w:hint="eastAsia" w:ascii="宋体" w:cs="宋体"/>
          <w:color w:val="auto"/>
          <w:szCs w:val="21"/>
          <w:u w:val="single"/>
        </w:rPr>
        <w:t>（项目名称）</w:t>
      </w:r>
      <w:r>
        <w:rPr>
          <w:rFonts w:hint="eastAsia" w:ascii="宋体" w:cs="宋体"/>
          <w:color w:val="auto"/>
          <w:szCs w:val="21"/>
        </w:rPr>
        <w:t>中所需</w:t>
      </w:r>
      <w:r>
        <w:rPr>
          <w:rFonts w:hint="eastAsia" w:ascii="宋体" w:cs="宋体"/>
          <w:color w:val="auto"/>
          <w:szCs w:val="21"/>
          <w:u w:val="single"/>
        </w:rPr>
        <w:t>（产品名称）</w:t>
      </w:r>
      <w:r>
        <w:rPr>
          <w:rFonts w:hint="eastAsia" w:ascii="宋体" w:cs="宋体"/>
          <w:color w:val="auto"/>
          <w:szCs w:val="21"/>
        </w:rPr>
        <w:t xml:space="preserve"> 经公开招标，确定</w:t>
      </w:r>
      <w:r>
        <w:rPr>
          <w:rFonts w:hint="eastAsia" w:ascii="宋体" w:cs="宋体"/>
          <w:color w:val="auto"/>
          <w:szCs w:val="21"/>
          <w:u w:val="single"/>
        </w:rPr>
        <w:t>（卖方）</w:t>
      </w:r>
      <w:r>
        <w:rPr>
          <w:rFonts w:hint="eastAsia" w:ascii="宋体" w:cs="宋体"/>
          <w:color w:val="auto"/>
          <w:szCs w:val="21"/>
        </w:rPr>
        <w:t>为中标人。按照《中华人民共和国民法典》的规定，买卖双方同意按照下述的条款和条件，签署本合同。</w:t>
      </w:r>
    </w:p>
    <w:p w14:paraId="1FA81174">
      <w:pPr>
        <w:spacing w:line="440" w:lineRule="exact"/>
        <w:ind w:firstLine="420" w:firstLineChars="200"/>
        <w:rPr>
          <w:rFonts w:ascii="宋体" w:cs="宋体"/>
          <w:color w:val="auto"/>
          <w:szCs w:val="21"/>
        </w:rPr>
      </w:pPr>
      <w:r>
        <w:rPr>
          <w:rFonts w:hint="eastAsia" w:ascii="宋体" w:cs="宋体"/>
          <w:color w:val="auto"/>
          <w:szCs w:val="21"/>
        </w:rPr>
        <w:t>1.本合同文件</w:t>
      </w:r>
    </w:p>
    <w:p w14:paraId="15892F3B">
      <w:pPr>
        <w:spacing w:line="440" w:lineRule="exact"/>
        <w:ind w:firstLine="420" w:firstLineChars="200"/>
        <w:rPr>
          <w:rFonts w:ascii="宋体" w:cs="宋体"/>
          <w:color w:val="auto"/>
          <w:szCs w:val="21"/>
        </w:rPr>
      </w:pPr>
      <w:r>
        <w:rPr>
          <w:rFonts w:hint="eastAsia" w:ascii="宋体" w:cs="宋体"/>
          <w:color w:val="auto"/>
          <w:szCs w:val="21"/>
        </w:rPr>
        <w:t>下列每一文件均应作为合同的组成部分进行阅读和解释：</w:t>
      </w:r>
    </w:p>
    <w:p w14:paraId="015D90D5">
      <w:pPr>
        <w:spacing w:line="440" w:lineRule="exact"/>
        <w:ind w:firstLine="420" w:firstLineChars="200"/>
        <w:rPr>
          <w:rFonts w:ascii="宋体" w:cs="宋体"/>
          <w:color w:val="auto"/>
          <w:szCs w:val="21"/>
        </w:rPr>
      </w:pPr>
      <w:r>
        <w:rPr>
          <w:rFonts w:hint="eastAsia" w:ascii="宋体" w:cs="宋体"/>
          <w:color w:val="auto"/>
          <w:szCs w:val="21"/>
        </w:rPr>
        <w:t>（1）招标文件（2）投标文件（3）中标通知书</w:t>
      </w:r>
    </w:p>
    <w:p w14:paraId="135958A6">
      <w:pPr>
        <w:spacing w:line="440" w:lineRule="exact"/>
        <w:ind w:firstLine="420" w:firstLineChars="200"/>
        <w:rPr>
          <w:rFonts w:ascii="宋体" w:cs="宋体"/>
          <w:color w:val="auto"/>
          <w:szCs w:val="21"/>
        </w:rPr>
      </w:pPr>
      <w:r>
        <w:rPr>
          <w:rFonts w:hint="eastAsia" w:ascii="宋体" w:cs="宋体"/>
          <w:color w:val="auto"/>
          <w:szCs w:val="21"/>
        </w:rPr>
        <w:t>（4）经双方确认进入合同的其它文件、补充条款或说明</w:t>
      </w:r>
    </w:p>
    <w:p w14:paraId="5C1F3A5B">
      <w:pPr>
        <w:spacing w:line="440" w:lineRule="exact"/>
        <w:ind w:firstLine="420" w:firstLineChars="200"/>
        <w:rPr>
          <w:rFonts w:ascii="宋体" w:cs="宋体"/>
          <w:color w:val="auto"/>
          <w:szCs w:val="21"/>
        </w:rPr>
      </w:pPr>
      <w:r>
        <w:rPr>
          <w:rFonts w:hint="eastAsia" w:ascii="宋体" w:cs="宋体"/>
          <w:color w:val="auto"/>
          <w:szCs w:val="21"/>
        </w:rPr>
        <w:t>2.采购标的、数量、质量要求</w:t>
      </w:r>
    </w:p>
    <w:p w14:paraId="5FD63423">
      <w:pPr>
        <w:spacing w:line="440" w:lineRule="exact"/>
        <w:ind w:firstLine="420" w:firstLineChars="200"/>
        <w:rPr>
          <w:rFonts w:ascii="宋体" w:cs="宋体"/>
          <w:color w:val="auto"/>
          <w:szCs w:val="21"/>
        </w:rPr>
      </w:pPr>
      <w:r>
        <w:rPr>
          <w:rFonts w:hint="eastAsia" w:ascii="宋体" w:cs="宋体"/>
          <w:color w:val="auto"/>
          <w:szCs w:val="21"/>
        </w:rPr>
        <w:t>3.合同总价</w:t>
      </w:r>
    </w:p>
    <w:p w14:paraId="1B56866A">
      <w:pPr>
        <w:spacing w:line="440" w:lineRule="exact"/>
        <w:ind w:firstLine="420" w:firstLineChars="200"/>
        <w:rPr>
          <w:rFonts w:ascii="宋体" w:cs="宋体"/>
          <w:color w:val="auto"/>
          <w:szCs w:val="21"/>
        </w:rPr>
      </w:pPr>
      <w:r>
        <w:rPr>
          <w:rFonts w:hint="eastAsia" w:ascii="宋体" w:cs="宋体"/>
          <w:color w:val="auto"/>
          <w:szCs w:val="21"/>
        </w:rPr>
        <w:t xml:space="preserve">合同总价为 </w:t>
      </w:r>
      <w:r>
        <w:rPr>
          <w:rFonts w:hint="eastAsia" w:ascii="宋体" w:cs="宋体"/>
          <w:color w:val="auto"/>
          <w:szCs w:val="21"/>
          <w:u w:val="single"/>
        </w:rPr>
        <w:t xml:space="preserve">              </w:t>
      </w:r>
      <w:r>
        <w:rPr>
          <w:rFonts w:hint="eastAsia" w:ascii="宋体" w:cs="宋体"/>
          <w:color w:val="auto"/>
          <w:szCs w:val="21"/>
        </w:rPr>
        <w:t>元人民币。</w:t>
      </w:r>
    </w:p>
    <w:p w14:paraId="55678893">
      <w:pPr>
        <w:numPr>
          <w:ilvl w:val="0"/>
          <w:numId w:val="4"/>
        </w:numPr>
        <w:snapToGrid w:val="0"/>
        <w:spacing w:line="440" w:lineRule="exact"/>
        <w:ind w:firstLine="420" w:firstLineChars="200"/>
        <w:rPr>
          <w:rFonts w:ascii="黑体" w:eastAsia="黑体" w:cs="宋体"/>
          <w:b/>
          <w:bCs/>
          <w:color w:val="auto"/>
          <w:szCs w:val="21"/>
        </w:rPr>
      </w:pPr>
      <w:r>
        <w:rPr>
          <w:rFonts w:hint="eastAsia" w:ascii="宋体" w:cs="宋体"/>
          <w:color w:val="auto"/>
          <w:szCs w:val="21"/>
        </w:rPr>
        <w:t>付款方式</w:t>
      </w:r>
      <w:r>
        <w:rPr>
          <w:rFonts w:hint="eastAsia" w:ascii="黑体" w:eastAsia="黑体" w:cs="宋体"/>
          <w:b/>
          <w:bCs/>
          <w:color w:val="auto"/>
          <w:szCs w:val="21"/>
        </w:rPr>
        <w:t>：</w:t>
      </w:r>
      <w:r>
        <w:rPr>
          <w:rFonts w:hint="eastAsia" w:ascii="宋体" w:hAnsi="宋体" w:cs="宋体"/>
          <w:color w:val="auto"/>
          <w:szCs w:val="21"/>
        </w:rPr>
        <w:t>同生效后每年甲方向乙方分两次支付全年维保费用，合同签订后第七个月内支付年维保费用的50%，第十三个月内支付余下50%的年维保费用（每次支付费用前均须经招标人对中标单位服务内容考核合格后方可支付费用）。</w:t>
      </w:r>
      <w:r>
        <w:rPr>
          <w:rFonts w:hint="eastAsia"/>
          <w:b/>
          <w:bCs/>
          <w:color w:val="auto"/>
        </w:rPr>
        <w:t>注：合同外服务费每半年支付一次，服务费按照如下方式确定：1、如中标价清单中有相同项目及类似项目单价的，则按已有项目的单价执行；2、如中标价清单中无相同项目及类似项目单价的，则由采购人组织相关部门、中标人共同询价确定。经学校校长办公会研究同意后，据实结算支付。</w:t>
      </w:r>
    </w:p>
    <w:p w14:paraId="4A84B8E2">
      <w:pPr>
        <w:pStyle w:val="39"/>
        <w:ind w:left="0" w:leftChars="0" w:firstLine="420"/>
        <w:rPr>
          <w:rFonts w:ascii="Times New Roman"/>
          <w:color w:val="auto"/>
          <w:szCs w:val="22"/>
        </w:rPr>
      </w:pPr>
      <w:r>
        <w:rPr>
          <w:rFonts w:hint="eastAsia" w:ascii="Times New Roman"/>
          <w:color w:val="auto"/>
          <w:szCs w:val="22"/>
        </w:rPr>
        <w:t xml:space="preserve">4.1、结账流程: </w:t>
      </w:r>
    </w:p>
    <w:p w14:paraId="304EAA4D">
      <w:pPr>
        <w:pStyle w:val="39"/>
        <w:ind w:left="0" w:leftChars="0" w:firstLine="420"/>
        <w:rPr>
          <w:rFonts w:ascii="Times New Roman"/>
          <w:color w:val="auto"/>
          <w:szCs w:val="22"/>
        </w:rPr>
      </w:pPr>
      <w:r>
        <w:rPr>
          <w:rFonts w:hint="eastAsia" w:ascii="Times New Roman"/>
          <w:color w:val="auto"/>
          <w:szCs w:val="22"/>
        </w:rPr>
        <w:t xml:space="preserve">a)乙方对所服务部门列出一个季度的服务清单(详细产品及质量数量)， 由所服务部门联系人和负责人签字盖章确认; </w:t>
      </w:r>
    </w:p>
    <w:p w14:paraId="16CBD9CC">
      <w:pPr>
        <w:pStyle w:val="39"/>
        <w:ind w:left="0" w:leftChars="0" w:firstLine="420"/>
        <w:rPr>
          <w:rFonts w:ascii="Times New Roman"/>
          <w:color w:val="auto"/>
          <w:szCs w:val="22"/>
        </w:rPr>
      </w:pPr>
      <w:r>
        <w:rPr>
          <w:rFonts w:hint="eastAsia" w:ascii="Times New Roman"/>
          <w:color w:val="auto"/>
          <w:szCs w:val="22"/>
        </w:rPr>
        <w:t xml:space="preserve">b)乙方根据服务清单严格按照中标价格进行价格核算，报院领导审核; </w:t>
      </w:r>
    </w:p>
    <w:p w14:paraId="725B20CC">
      <w:pPr>
        <w:pStyle w:val="39"/>
        <w:ind w:left="0" w:leftChars="0" w:firstLine="420"/>
        <w:rPr>
          <w:rFonts w:ascii="Times New Roman"/>
          <w:color w:val="auto"/>
          <w:szCs w:val="22"/>
        </w:rPr>
      </w:pPr>
      <w:r>
        <w:rPr>
          <w:rFonts w:hint="eastAsia" w:ascii="Times New Roman"/>
          <w:color w:val="auto"/>
          <w:szCs w:val="22"/>
        </w:rPr>
        <w:t xml:space="preserve">c)根据最终核算价格，按照财务管理制度，办理报销付款手续。 </w:t>
      </w:r>
    </w:p>
    <w:p w14:paraId="45103719">
      <w:pPr>
        <w:pStyle w:val="39"/>
        <w:ind w:left="0" w:leftChars="0" w:firstLine="420"/>
        <w:rPr>
          <w:rFonts w:ascii="Times New Roman"/>
          <w:color w:val="auto"/>
          <w:szCs w:val="22"/>
        </w:rPr>
      </w:pPr>
      <w:r>
        <w:rPr>
          <w:rFonts w:hint="eastAsia" w:ascii="Times New Roman"/>
          <w:color w:val="auto"/>
          <w:szCs w:val="22"/>
        </w:rPr>
        <w:t xml:space="preserve">4.2、所有款项汇至乙方指定中标单位账户: </w:t>
      </w:r>
    </w:p>
    <w:p w14:paraId="71DD3710">
      <w:pPr>
        <w:pStyle w:val="39"/>
        <w:ind w:left="0" w:leftChars="0" w:firstLine="420"/>
        <w:rPr>
          <w:rFonts w:ascii="Times New Roman"/>
          <w:color w:val="auto"/>
          <w:szCs w:val="22"/>
        </w:rPr>
      </w:pPr>
      <w:r>
        <w:rPr>
          <w:rFonts w:hint="eastAsia" w:ascii="Times New Roman"/>
          <w:color w:val="auto"/>
          <w:szCs w:val="22"/>
        </w:rPr>
        <w:t xml:space="preserve">开户行: </w:t>
      </w:r>
    </w:p>
    <w:p w14:paraId="665F320A">
      <w:pPr>
        <w:pStyle w:val="39"/>
        <w:ind w:left="0" w:leftChars="0" w:firstLine="420"/>
        <w:rPr>
          <w:rFonts w:ascii="Times New Roman"/>
          <w:color w:val="auto"/>
          <w:szCs w:val="22"/>
        </w:rPr>
      </w:pPr>
      <w:r>
        <w:rPr>
          <w:rFonts w:hint="eastAsia" w:ascii="Times New Roman"/>
          <w:color w:val="auto"/>
          <w:szCs w:val="22"/>
        </w:rPr>
        <w:t xml:space="preserve">账号: </w:t>
      </w:r>
    </w:p>
    <w:p w14:paraId="6960CE76">
      <w:pPr>
        <w:spacing w:line="360" w:lineRule="auto"/>
        <w:ind w:firstLine="420" w:firstLineChars="200"/>
        <w:rPr>
          <w:rFonts w:ascii="宋体" w:hAnsi="宋体" w:cs="宋体"/>
          <w:color w:val="auto"/>
          <w:szCs w:val="21"/>
        </w:rPr>
      </w:pPr>
      <w:r>
        <w:rPr>
          <w:rFonts w:hint="eastAsia" w:ascii="宋体" w:hAnsi="宋体" w:cs="宋体"/>
          <w:color w:val="auto"/>
          <w:szCs w:val="21"/>
        </w:rPr>
        <w:t>5.工作人员在采购人单位作业期间，必须持证上岗，必须严格遵守采购人单位的规章制度,做到文明施工，确保安全、保质、快捷可靠。因成交人维修保养质量所引起的一切事故责任由成交人承担，服务过程中做好自身防护，因不规范操作，造成安全事故的，由中标人全权承担。</w:t>
      </w:r>
    </w:p>
    <w:p w14:paraId="0639DA74">
      <w:pPr>
        <w:pStyle w:val="39"/>
        <w:ind w:left="0" w:leftChars="0" w:firstLine="420"/>
        <w:rPr>
          <w:rFonts w:ascii="Times New Roman"/>
          <w:color w:val="auto"/>
          <w:szCs w:val="22"/>
        </w:rPr>
      </w:pPr>
      <w:r>
        <w:rPr>
          <w:rFonts w:hint="eastAsia" w:ascii="Times New Roman"/>
          <w:color w:val="auto"/>
          <w:szCs w:val="22"/>
        </w:rPr>
        <w:t>6.合同供货（服务）期限及地点和方式</w:t>
      </w:r>
    </w:p>
    <w:p w14:paraId="673EA644">
      <w:pPr>
        <w:pStyle w:val="39"/>
        <w:ind w:left="0" w:leftChars="0" w:firstLine="420"/>
        <w:rPr>
          <w:rFonts w:ascii="Times New Roman"/>
          <w:color w:val="auto"/>
          <w:szCs w:val="22"/>
        </w:rPr>
      </w:pPr>
      <w:r>
        <w:rPr>
          <w:rFonts w:hint="eastAsia" w:ascii="Times New Roman"/>
          <w:color w:val="auto"/>
          <w:szCs w:val="22"/>
        </w:rPr>
        <w:t>7.验收要求及违约责任</w:t>
      </w:r>
    </w:p>
    <w:p w14:paraId="7E4A343D">
      <w:pPr>
        <w:spacing w:line="440" w:lineRule="exact"/>
        <w:ind w:firstLine="420" w:firstLineChars="200"/>
        <w:rPr>
          <w:rFonts w:ascii="宋体" w:cs="宋体"/>
          <w:color w:val="auto"/>
          <w:szCs w:val="21"/>
        </w:rPr>
      </w:pPr>
      <w:r>
        <w:rPr>
          <w:rFonts w:hint="eastAsia" w:ascii="宋体" w:cs="宋体"/>
          <w:color w:val="auto"/>
          <w:szCs w:val="21"/>
        </w:rPr>
        <w:t>8.违约责任及解决争议方法</w:t>
      </w:r>
    </w:p>
    <w:p w14:paraId="360B21F0">
      <w:pPr>
        <w:spacing w:line="440" w:lineRule="exact"/>
        <w:ind w:firstLine="420" w:firstLineChars="200"/>
        <w:rPr>
          <w:rFonts w:ascii="宋体" w:cs="宋体"/>
          <w:color w:val="auto"/>
          <w:szCs w:val="21"/>
        </w:rPr>
      </w:pPr>
      <w:r>
        <w:rPr>
          <w:rFonts w:hint="eastAsia" w:ascii="宋体" w:cs="宋体"/>
          <w:color w:val="auto"/>
          <w:szCs w:val="21"/>
        </w:rPr>
        <w:t>9.合同的生效</w:t>
      </w:r>
    </w:p>
    <w:p w14:paraId="3BEBF5E6">
      <w:pPr>
        <w:pStyle w:val="19"/>
        <w:spacing w:after="0" w:line="440" w:lineRule="exact"/>
        <w:ind w:left="0" w:leftChars="0" w:firstLine="420" w:firstLineChars="200"/>
        <w:rPr>
          <w:rFonts w:ascii="宋体" w:cs="宋体"/>
          <w:color w:val="auto"/>
          <w:kern w:val="0"/>
          <w:szCs w:val="21"/>
          <w:u w:color="000000"/>
        </w:rPr>
      </w:pPr>
      <w:r>
        <w:rPr>
          <w:rFonts w:hint="eastAsia" w:ascii="宋体" w:cs="宋体"/>
          <w:color w:val="auto"/>
          <w:kern w:val="0"/>
          <w:szCs w:val="21"/>
          <w:u w:color="000000"/>
        </w:rPr>
        <w:t>合同经双方授权代表签署，买卖双方加盖印章之后生效。</w:t>
      </w:r>
    </w:p>
    <w:p w14:paraId="63A0E14B">
      <w:pPr>
        <w:pStyle w:val="19"/>
        <w:spacing w:after="0" w:line="440" w:lineRule="exact"/>
        <w:ind w:left="0" w:leftChars="0" w:firstLine="420" w:firstLineChars="200"/>
        <w:rPr>
          <w:rFonts w:ascii="宋体" w:cs="宋体"/>
          <w:color w:val="auto"/>
          <w:kern w:val="0"/>
          <w:szCs w:val="21"/>
          <w:u w:color="000000"/>
        </w:rPr>
      </w:pPr>
      <w:r>
        <w:rPr>
          <w:rFonts w:hint="eastAsia" w:ascii="宋体" w:cs="宋体"/>
          <w:color w:val="auto"/>
          <w:kern w:val="0"/>
          <w:szCs w:val="21"/>
          <w:u w:color="000000"/>
        </w:rPr>
        <w:t>本合同一式     份，双方各执     份。</w:t>
      </w:r>
    </w:p>
    <w:p w14:paraId="33677B7F">
      <w:pPr>
        <w:pStyle w:val="19"/>
        <w:spacing w:after="0" w:line="440" w:lineRule="exact"/>
        <w:ind w:left="0" w:leftChars="0" w:firstLine="420" w:firstLineChars="200"/>
        <w:rPr>
          <w:rFonts w:ascii="宋体" w:cs="宋体"/>
          <w:color w:val="auto"/>
          <w:kern w:val="0"/>
          <w:szCs w:val="21"/>
          <w:u w:color="000000"/>
        </w:rPr>
      </w:pPr>
      <w:r>
        <w:rPr>
          <w:rFonts w:hint="eastAsia" w:ascii="宋体" w:cs="宋体"/>
          <w:color w:val="auto"/>
          <w:kern w:val="0"/>
          <w:szCs w:val="21"/>
          <w:u w:color="000000"/>
        </w:rPr>
        <w:t>买  方：                          卖  方：</w:t>
      </w:r>
    </w:p>
    <w:p w14:paraId="512F4F1C">
      <w:pPr>
        <w:pStyle w:val="19"/>
        <w:spacing w:after="0" w:line="440" w:lineRule="exact"/>
        <w:ind w:left="0" w:leftChars="0" w:firstLine="420" w:firstLineChars="200"/>
        <w:rPr>
          <w:rFonts w:ascii="宋体" w:cs="宋体"/>
          <w:color w:val="auto"/>
          <w:kern w:val="0"/>
          <w:szCs w:val="21"/>
          <w:u w:color="000000"/>
        </w:rPr>
      </w:pPr>
      <w:r>
        <w:rPr>
          <w:rFonts w:hint="eastAsia" w:ascii="宋体" w:cs="宋体"/>
          <w:color w:val="auto"/>
          <w:kern w:val="0"/>
          <w:szCs w:val="21"/>
          <w:u w:color="000000"/>
        </w:rPr>
        <w:t>名  称：（盖章）                  名  称：（盖章）</w:t>
      </w:r>
    </w:p>
    <w:p w14:paraId="353EE275">
      <w:pPr>
        <w:pStyle w:val="19"/>
        <w:spacing w:after="0" w:line="420" w:lineRule="exact"/>
        <w:ind w:left="0" w:leftChars="0" w:firstLine="420" w:firstLineChars="200"/>
        <w:rPr>
          <w:rFonts w:ascii="宋体" w:cs="宋体"/>
          <w:color w:val="auto"/>
          <w:kern w:val="0"/>
          <w:szCs w:val="21"/>
          <w:u w:color="000000"/>
        </w:rPr>
      </w:pPr>
      <w:r>
        <w:rPr>
          <w:rFonts w:hint="eastAsia" w:ascii="宋体" w:cs="宋体"/>
          <w:color w:val="auto"/>
          <w:kern w:val="0"/>
          <w:szCs w:val="21"/>
          <w:u w:color="000000"/>
        </w:rPr>
        <w:t>法定代表人（或委托代理人）：      法定代表人（或委托代理人）：</w:t>
      </w:r>
    </w:p>
    <w:p w14:paraId="46FE2BE3">
      <w:pPr>
        <w:pStyle w:val="19"/>
        <w:spacing w:after="0" w:line="420" w:lineRule="exact"/>
        <w:ind w:left="0" w:leftChars="0" w:firstLine="420" w:firstLineChars="200"/>
        <w:rPr>
          <w:rFonts w:ascii="宋体" w:cs="宋体"/>
          <w:color w:val="auto"/>
          <w:kern w:val="0"/>
          <w:szCs w:val="21"/>
          <w:u w:color="000000"/>
        </w:rPr>
      </w:pPr>
      <w:r>
        <w:rPr>
          <w:rFonts w:hint="eastAsia" w:ascii="宋体" w:cs="宋体"/>
          <w:color w:val="auto"/>
          <w:kern w:val="0"/>
          <w:szCs w:val="21"/>
          <w:u w:color="000000"/>
        </w:rPr>
        <w:t>（签字）                        （签字）</w:t>
      </w:r>
    </w:p>
    <w:p w14:paraId="2E0BA266">
      <w:pPr>
        <w:pStyle w:val="19"/>
        <w:spacing w:after="0" w:line="420" w:lineRule="exact"/>
        <w:ind w:left="0" w:leftChars="0" w:firstLine="420" w:firstLineChars="200"/>
        <w:rPr>
          <w:rFonts w:ascii="宋体" w:cs="宋体"/>
          <w:color w:val="auto"/>
          <w:kern w:val="0"/>
          <w:szCs w:val="21"/>
          <w:u w:color="000000"/>
        </w:rPr>
      </w:pPr>
      <w:r>
        <w:rPr>
          <w:rFonts w:hint="eastAsia" w:ascii="宋体" w:cs="宋体"/>
          <w:color w:val="auto"/>
          <w:kern w:val="0"/>
          <w:szCs w:val="21"/>
          <w:u w:color="000000"/>
        </w:rPr>
        <w:t>地    址：                        地    址：</w:t>
      </w:r>
    </w:p>
    <w:p w14:paraId="1E482E63">
      <w:pPr>
        <w:pStyle w:val="19"/>
        <w:spacing w:after="0" w:line="420" w:lineRule="exact"/>
        <w:ind w:left="0" w:leftChars="0" w:firstLine="420" w:firstLineChars="200"/>
        <w:rPr>
          <w:rFonts w:ascii="宋体" w:cs="宋体"/>
          <w:color w:val="auto"/>
          <w:kern w:val="0"/>
          <w:szCs w:val="21"/>
          <w:u w:color="000000"/>
        </w:rPr>
      </w:pPr>
      <w:r>
        <w:rPr>
          <w:rFonts w:hint="eastAsia" w:ascii="宋体" w:cs="宋体"/>
          <w:color w:val="auto"/>
          <w:kern w:val="0"/>
          <w:szCs w:val="21"/>
          <w:u w:color="000000"/>
        </w:rPr>
        <w:t>邮政编码：                        邮政编码：</w:t>
      </w:r>
    </w:p>
    <w:p w14:paraId="61C2BBD4">
      <w:pPr>
        <w:pStyle w:val="19"/>
        <w:spacing w:after="0" w:line="420" w:lineRule="exact"/>
        <w:ind w:left="0" w:leftChars="0" w:firstLine="420" w:firstLineChars="200"/>
        <w:rPr>
          <w:rFonts w:ascii="宋体" w:cs="宋体"/>
          <w:color w:val="auto"/>
          <w:kern w:val="0"/>
          <w:szCs w:val="21"/>
          <w:u w:color="000000"/>
        </w:rPr>
      </w:pPr>
      <w:r>
        <w:rPr>
          <w:rFonts w:hint="eastAsia" w:ascii="宋体" w:cs="宋体"/>
          <w:color w:val="auto"/>
          <w:kern w:val="0"/>
          <w:szCs w:val="21"/>
          <w:u w:color="000000"/>
        </w:rPr>
        <w:t>电    话：                        电    话：</w:t>
      </w:r>
    </w:p>
    <w:p w14:paraId="783E8416">
      <w:pPr>
        <w:pStyle w:val="19"/>
        <w:spacing w:after="0" w:line="420" w:lineRule="exact"/>
        <w:ind w:left="0" w:leftChars="0" w:firstLine="420" w:firstLineChars="200"/>
        <w:rPr>
          <w:rFonts w:ascii="宋体" w:cs="宋体"/>
          <w:color w:val="auto"/>
          <w:kern w:val="0"/>
          <w:szCs w:val="21"/>
          <w:u w:color="000000"/>
        </w:rPr>
      </w:pPr>
      <w:r>
        <w:rPr>
          <w:rFonts w:hint="eastAsia" w:ascii="宋体" w:cs="宋体"/>
          <w:color w:val="auto"/>
          <w:kern w:val="0"/>
          <w:szCs w:val="21"/>
          <w:u w:color="000000"/>
        </w:rPr>
        <w:t>开户银行：                        开户银行：</w:t>
      </w:r>
    </w:p>
    <w:p w14:paraId="4C9BC865">
      <w:pPr>
        <w:pStyle w:val="19"/>
        <w:spacing w:after="0" w:line="420" w:lineRule="exact"/>
        <w:ind w:left="0" w:leftChars="0" w:firstLine="420" w:firstLineChars="200"/>
        <w:rPr>
          <w:rFonts w:ascii="宋体" w:cs="宋体"/>
          <w:color w:val="auto"/>
          <w:kern w:val="0"/>
          <w:szCs w:val="21"/>
          <w:u w:color="000000"/>
        </w:rPr>
      </w:pPr>
      <w:r>
        <w:rPr>
          <w:rFonts w:hint="eastAsia" w:ascii="宋体" w:cs="宋体"/>
          <w:color w:val="auto"/>
          <w:kern w:val="0"/>
          <w:szCs w:val="21"/>
          <w:u w:color="000000"/>
        </w:rPr>
        <w:t>帐    号：                        帐    号：</w:t>
      </w:r>
    </w:p>
    <w:p w14:paraId="79C7D1D2">
      <w:pPr>
        <w:spacing w:line="400" w:lineRule="exact"/>
        <w:ind w:left="360"/>
        <w:jc w:val="center"/>
        <w:outlineLvl w:val="1"/>
        <w:rPr>
          <w:rFonts w:ascii="黑体" w:eastAsia="黑体"/>
          <w:b/>
          <w:color w:val="auto"/>
          <w:sz w:val="30"/>
          <w:szCs w:val="30"/>
        </w:rPr>
      </w:pPr>
      <w:bookmarkStart w:id="109" w:name="_Toc152045610"/>
      <w:bookmarkStart w:id="110" w:name="_Toc247085768"/>
      <w:bookmarkStart w:id="111" w:name="_Toc246996996"/>
      <w:bookmarkStart w:id="112" w:name="_Toc152042388"/>
      <w:bookmarkStart w:id="113" w:name="_Toc144974578"/>
      <w:bookmarkStart w:id="114" w:name="_Toc449028947"/>
      <w:bookmarkStart w:id="115" w:name="_Toc246996253"/>
      <w:bookmarkStart w:id="116" w:name="_Toc179632628"/>
      <w:bookmarkStart w:id="117" w:name="_Toc296602498"/>
      <w:r>
        <w:rPr>
          <w:rFonts w:ascii="黑体" w:eastAsia="黑体"/>
          <w:b/>
          <w:color w:val="auto"/>
          <w:sz w:val="30"/>
          <w:szCs w:val="30"/>
        </w:rPr>
        <w:br w:type="page"/>
      </w:r>
      <w:bookmarkStart w:id="118" w:name="_Toc58430331"/>
      <w:r>
        <w:rPr>
          <w:rFonts w:hint="eastAsia" w:ascii="宋体"/>
          <w:b/>
          <w:color w:val="auto"/>
          <w:sz w:val="30"/>
          <w:szCs w:val="30"/>
        </w:rPr>
        <w:t>二、合同条款</w:t>
      </w:r>
      <w:bookmarkEnd w:id="109"/>
      <w:bookmarkEnd w:id="110"/>
      <w:bookmarkEnd w:id="111"/>
      <w:bookmarkEnd w:id="112"/>
      <w:bookmarkEnd w:id="113"/>
      <w:bookmarkEnd w:id="114"/>
      <w:bookmarkEnd w:id="115"/>
      <w:bookmarkEnd w:id="116"/>
      <w:bookmarkEnd w:id="117"/>
      <w:bookmarkEnd w:id="118"/>
    </w:p>
    <w:p w14:paraId="475CF46C">
      <w:pPr>
        <w:spacing w:line="440" w:lineRule="exact"/>
        <w:rPr>
          <w:rFonts w:ascii="宋体" w:cs="宋体"/>
          <w:b/>
          <w:color w:val="auto"/>
          <w:szCs w:val="21"/>
        </w:rPr>
      </w:pPr>
      <w:r>
        <w:rPr>
          <w:rFonts w:hint="eastAsia" w:ascii="宋体" w:cs="宋体"/>
          <w:b/>
          <w:color w:val="auto"/>
          <w:szCs w:val="21"/>
        </w:rPr>
        <w:t>一.  合同文件</w:t>
      </w:r>
    </w:p>
    <w:p w14:paraId="0B07472B">
      <w:pPr>
        <w:spacing w:line="440" w:lineRule="exact"/>
        <w:rPr>
          <w:rFonts w:ascii="宋体" w:cs="宋体"/>
          <w:color w:val="auto"/>
          <w:szCs w:val="21"/>
        </w:rPr>
      </w:pPr>
      <w:r>
        <w:rPr>
          <w:rFonts w:hint="eastAsia" w:ascii="宋体" w:cs="宋体"/>
          <w:color w:val="auto"/>
          <w:szCs w:val="21"/>
        </w:rPr>
        <w:t>1.合同文件适用法律</w:t>
      </w:r>
    </w:p>
    <w:p w14:paraId="32D26F98">
      <w:pPr>
        <w:spacing w:line="440" w:lineRule="exact"/>
        <w:ind w:firstLine="630" w:firstLineChars="300"/>
        <w:rPr>
          <w:rFonts w:ascii="宋体" w:cs="宋体"/>
          <w:color w:val="auto"/>
          <w:szCs w:val="21"/>
        </w:rPr>
      </w:pPr>
      <w:r>
        <w:rPr>
          <w:rFonts w:hint="eastAsia" w:ascii="宋体" w:cs="宋体"/>
          <w:color w:val="auto"/>
          <w:szCs w:val="21"/>
        </w:rPr>
        <w:t>适用于合同文件的法律是中华人民共和国现行法律、法规及采购人所在地的地方性法规。</w:t>
      </w:r>
    </w:p>
    <w:p w14:paraId="24EBB835">
      <w:pPr>
        <w:spacing w:line="440" w:lineRule="exact"/>
        <w:rPr>
          <w:rFonts w:ascii="宋体" w:cs="宋体"/>
          <w:color w:val="auto"/>
          <w:szCs w:val="21"/>
        </w:rPr>
      </w:pPr>
      <w:r>
        <w:rPr>
          <w:rFonts w:hint="eastAsia" w:ascii="宋体" w:cs="宋体"/>
          <w:color w:val="auto"/>
          <w:szCs w:val="21"/>
        </w:rPr>
        <w:t>2.合同文件组成和解释顺序</w:t>
      </w:r>
    </w:p>
    <w:p w14:paraId="4F9042B3">
      <w:pPr>
        <w:spacing w:line="440" w:lineRule="exact"/>
        <w:ind w:firstLine="525" w:firstLineChars="250"/>
        <w:rPr>
          <w:rFonts w:ascii="宋体" w:cs="宋体"/>
          <w:color w:val="auto"/>
          <w:szCs w:val="21"/>
        </w:rPr>
      </w:pPr>
      <w:r>
        <w:rPr>
          <w:rFonts w:hint="eastAsia" w:ascii="宋体" w:cs="宋体"/>
          <w:color w:val="auto"/>
          <w:szCs w:val="21"/>
        </w:rPr>
        <w:t>(1)合同文件的组成和解释顺序如下：</w:t>
      </w:r>
    </w:p>
    <w:p w14:paraId="2D9AD77C">
      <w:pPr>
        <w:spacing w:line="440" w:lineRule="exact"/>
        <w:ind w:firstLine="525" w:firstLineChars="250"/>
        <w:rPr>
          <w:rFonts w:ascii="宋体" w:cs="宋体"/>
          <w:color w:val="auto"/>
          <w:szCs w:val="21"/>
        </w:rPr>
      </w:pPr>
      <w:r>
        <w:rPr>
          <w:rFonts w:hint="eastAsia" w:ascii="宋体" w:cs="宋体"/>
          <w:color w:val="auto"/>
          <w:szCs w:val="21"/>
        </w:rPr>
        <w:t>&lt;1&gt;合同的主要条款；</w:t>
      </w:r>
    </w:p>
    <w:p w14:paraId="30F8FDFD">
      <w:pPr>
        <w:spacing w:line="440" w:lineRule="exact"/>
        <w:ind w:firstLine="525" w:firstLineChars="250"/>
        <w:rPr>
          <w:rFonts w:ascii="宋体" w:cs="宋体"/>
          <w:color w:val="auto"/>
          <w:szCs w:val="21"/>
        </w:rPr>
      </w:pPr>
      <w:r>
        <w:rPr>
          <w:rFonts w:hint="eastAsia" w:ascii="宋体" w:cs="宋体"/>
          <w:color w:val="auto"/>
          <w:szCs w:val="21"/>
        </w:rPr>
        <w:t>&lt;2&gt;合同的一般性条款；</w:t>
      </w:r>
    </w:p>
    <w:p w14:paraId="24E1B42F">
      <w:pPr>
        <w:spacing w:line="440" w:lineRule="exact"/>
        <w:ind w:firstLine="525" w:firstLineChars="250"/>
        <w:rPr>
          <w:rFonts w:ascii="宋体" w:cs="宋体"/>
          <w:color w:val="auto"/>
          <w:szCs w:val="21"/>
        </w:rPr>
      </w:pPr>
      <w:r>
        <w:rPr>
          <w:rFonts w:hint="eastAsia" w:ascii="宋体" w:cs="宋体"/>
          <w:color w:val="auto"/>
          <w:szCs w:val="21"/>
        </w:rPr>
        <w:t>&lt;3&gt;洽商、变更等明确双方权利义务的纪要、协议；</w:t>
      </w:r>
    </w:p>
    <w:p w14:paraId="1BBB100E">
      <w:pPr>
        <w:spacing w:line="440" w:lineRule="exact"/>
        <w:ind w:firstLine="525" w:firstLineChars="250"/>
        <w:rPr>
          <w:rFonts w:ascii="宋体" w:cs="宋体"/>
          <w:color w:val="auto"/>
          <w:szCs w:val="21"/>
        </w:rPr>
      </w:pPr>
      <w:r>
        <w:rPr>
          <w:rFonts w:hint="eastAsia" w:ascii="宋体" w:cs="宋体"/>
          <w:color w:val="auto"/>
          <w:szCs w:val="21"/>
        </w:rPr>
        <w:t>&lt;4&gt;中标通知书、投标文件和招标文件；</w:t>
      </w:r>
    </w:p>
    <w:p w14:paraId="1AD25E87">
      <w:pPr>
        <w:spacing w:line="440" w:lineRule="exact"/>
        <w:ind w:firstLine="525" w:firstLineChars="250"/>
        <w:rPr>
          <w:rFonts w:ascii="宋体" w:cs="宋体"/>
          <w:color w:val="auto"/>
          <w:szCs w:val="21"/>
        </w:rPr>
      </w:pPr>
      <w:r>
        <w:rPr>
          <w:rFonts w:hint="eastAsia" w:ascii="宋体" w:cs="宋体"/>
          <w:color w:val="auto"/>
          <w:szCs w:val="21"/>
        </w:rPr>
        <w:t>&lt;5&gt;有关图纸、标准、规范和其它有关技术资料、技术要求。</w:t>
      </w:r>
    </w:p>
    <w:p w14:paraId="11740258">
      <w:pPr>
        <w:spacing w:line="440" w:lineRule="exact"/>
        <w:ind w:firstLine="525" w:firstLineChars="250"/>
        <w:rPr>
          <w:rFonts w:ascii="宋体" w:cs="宋体"/>
          <w:color w:val="auto"/>
          <w:szCs w:val="21"/>
        </w:rPr>
      </w:pPr>
      <w:r>
        <w:rPr>
          <w:rFonts w:hint="eastAsia" w:ascii="宋体" w:cs="宋体"/>
          <w:color w:val="auto"/>
          <w:szCs w:val="21"/>
        </w:rPr>
        <w:t>&lt;6&gt;合同的主要条款的效力优于合同的一般性条款的效力。</w:t>
      </w:r>
    </w:p>
    <w:p w14:paraId="2D7D4B10">
      <w:pPr>
        <w:spacing w:line="440" w:lineRule="exact"/>
        <w:rPr>
          <w:rFonts w:ascii="宋体" w:cs="宋体"/>
          <w:color w:val="auto"/>
          <w:szCs w:val="21"/>
        </w:rPr>
      </w:pPr>
      <w:r>
        <w:rPr>
          <w:rFonts w:hint="eastAsia" w:ascii="宋体" w:cs="宋体"/>
          <w:color w:val="auto"/>
          <w:szCs w:val="21"/>
        </w:rPr>
        <w:t>3.合同文件使用文字</w:t>
      </w:r>
    </w:p>
    <w:p w14:paraId="391D51E0">
      <w:pPr>
        <w:pStyle w:val="13"/>
        <w:spacing w:line="440" w:lineRule="exact"/>
        <w:ind w:firstLine="525" w:firstLineChars="250"/>
        <w:rPr>
          <w:rFonts w:ascii="宋体" w:cs="宋体"/>
          <w:sz w:val="21"/>
          <w:szCs w:val="21"/>
          <w:u w:color="000000"/>
        </w:rPr>
      </w:pPr>
      <w:r>
        <w:rPr>
          <w:rFonts w:hint="eastAsia" w:ascii="宋体" w:cs="宋体"/>
          <w:sz w:val="21"/>
          <w:szCs w:val="21"/>
          <w:u w:color="000000"/>
        </w:rPr>
        <w:t>(1)合同文件使用中文书写、解释和说明。</w:t>
      </w:r>
    </w:p>
    <w:p w14:paraId="44898043">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 xml:space="preserve">(2)合同文件使用技术性条款约定的为国家标准和规范；国家没有相应标准、规范时，可使用行业标准、规范。非标货物应按约定的技术性条款的标准和规范。 </w:t>
      </w:r>
    </w:p>
    <w:p w14:paraId="1B246F36">
      <w:pPr>
        <w:spacing w:line="440" w:lineRule="exact"/>
        <w:rPr>
          <w:rFonts w:ascii="宋体" w:cs="宋体"/>
          <w:b/>
          <w:color w:val="auto"/>
          <w:szCs w:val="21"/>
        </w:rPr>
      </w:pPr>
      <w:r>
        <w:rPr>
          <w:rFonts w:hint="eastAsia" w:ascii="宋体" w:cs="宋体"/>
          <w:b/>
          <w:color w:val="auto"/>
          <w:szCs w:val="21"/>
        </w:rPr>
        <w:t>二.  标的物的一般条款</w:t>
      </w:r>
    </w:p>
    <w:p w14:paraId="7B02DECA">
      <w:pPr>
        <w:spacing w:line="440" w:lineRule="exact"/>
        <w:rPr>
          <w:rFonts w:ascii="宋体" w:cs="宋体"/>
          <w:color w:val="auto"/>
          <w:szCs w:val="21"/>
        </w:rPr>
      </w:pPr>
      <w:r>
        <w:rPr>
          <w:rFonts w:hint="eastAsia" w:ascii="宋体" w:cs="宋体"/>
          <w:color w:val="auto"/>
          <w:szCs w:val="21"/>
        </w:rPr>
        <w:t>4.完整物权</w:t>
      </w:r>
    </w:p>
    <w:p w14:paraId="00925E07">
      <w:pPr>
        <w:tabs>
          <w:tab w:val="left" w:pos="660"/>
        </w:tabs>
        <w:spacing w:line="440" w:lineRule="exact"/>
        <w:rPr>
          <w:rFonts w:ascii="宋体" w:cs="宋体"/>
          <w:color w:val="auto"/>
          <w:szCs w:val="21"/>
        </w:rPr>
      </w:pPr>
      <w:r>
        <w:rPr>
          <w:rFonts w:hint="eastAsia" w:ascii="宋体" w:cs="宋体"/>
          <w:color w:val="auto"/>
          <w:szCs w:val="21"/>
        </w:rPr>
        <w:t xml:space="preserve"> </w:t>
      </w:r>
      <w:r>
        <w:rPr>
          <w:rFonts w:hint="eastAsia" w:ascii="宋体" w:cs="宋体"/>
          <w:color w:val="auto"/>
          <w:szCs w:val="21"/>
        </w:rPr>
        <w:tab/>
      </w:r>
      <w:r>
        <w:rPr>
          <w:rFonts w:hint="eastAsia" w:ascii="宋体" w:cs="宋体"/>
          <w:color w:val="auto"/>
          <w:szCs w:val="21"/>
        </w:rPr>
        <w:t>对于出卖的标的物，卖方应当拥有完整物权，并且卖方负有保证第三人不得向买方主张任何权利（包括知识产权）的义务。</w:t>
      </w:r>
    </w:p>
    <w:p w14:paraId="5AE89179">
      <w:pPr>
        <w:spacing w:line="440" w:lineRule="exact"/>
        <w:rPr>
          <w:rFonts w:ascii="宋体" w:cs="宋体"/>
          <w:color w:val="auto"/>
          <w:szCs w:val="21"/>
        </w:rPr>
      </w:pPr>
      <w:r>
        <w:rPr>
          <w:rFonts w:hint="eastAsia" w:ascii="宋体" w:cs="宋体"/>
          <w:color w:val="auto"/>
          <w:szCs w:val="21"/>
        </w:rPr>
        <w:t>5.质量保证</w:t>
      </w:r>
    </w:p>
    <w:p w14:paraId="15DE9A74">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771EFA68">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61515987">
      <w:pPr>
        <w:pStyle w:val="13"/>
        <w:tabs>
          <w:tab w:val="left" w:pos="900"/>
        </w:tabs>
        <w:overflowPunct w:val="0"/>
        <w:spacing w:line="440" w:lineRule="exact"/>
        <w:ind w:firstLine="525" w:firstLineChars="250"/>
        <w:rPr>
          <w:rFonts w:ascii="宋体" w:cs="宋体"/>
          <w:sz w:val="21"/>
          <w:szCs w:val="21"/>
          <w:u w:color="000000"/>
        </w:rPr>
      </w:pPr>
      <w:r>
        <w:rPr>
          <w:rFonts w:hint="eastAsia" w:ascii="宋体" w:cs="宋体"/>
          <w:sz w:val="21"/>
          <w:szCs w:val="21"/>
          <w:u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59A3D6EB">
      <w:pPr>
        <w:spacing w:line="440" w:lineRule="exact"/>
        <w:rPr>
          <w:rFonts w:ascii="宋体" w:cs="宋体"/>
          <w:color w:val="auto"/>
          <w:szCs w:val="21"/>
        </w:rPr>
      </w:pPr>
      <w:r>
        <w:rPr>
          <w:rFonts w:hint="eastAsia" w:ascii="宋体" w:cs="宋体"/>
          <w:color w:val="auto"/>
          <w:szCs w:val="21"/>
        </w:rPr>
        <w:t>6.包装</w:t>
      </w:r>
    </w:p>
    <w:p w14:paraId="1D797CBD">
      <w:pPr>
        <w:pStyle w:val="13"/>
        <w:tabs>
          <w:tab w:val="left" w:pos="900"/>
        </w:tabs>
        <w:spacing w:line="440" w:lineRule="exact"/>
        <w:ind w:firstLine="472" w:firstLineChars="225"/>
        <w:rPr>
          <w:rFonts w:ascii="宋体" w:cs="宋体"/>
          <w:sz w:val="21"/>
          <w:szCs w:val="21"/>
          <w:u w:color="000000"/>
        </w:rPr>
      </w:pPr>
      <w:r>
        <w:rPr>
          <w:rFonts w:hint="eastAsia" w:ascii="宋体" w:cs="宋体"/>
          <w:sz w:val="21"/>
          <w:szCs w:val="21"/>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47D5B885">
      <w:pPr>
        <w:spacing w:line="440" w:lineRule="exact"/>
        <w:rPr>
          <w:rFonts w:ascii="宋体" w:cs="宋体"/>
          <w:color w:val="auto"/>
          <w:szCs w:val="21"/>
        </w:rPr>
      </w:pPr>
      <w:r>
        <w:rPr>
          <w:rFonts w:hint="eastAsia" w:ascii="宋体" w:cs="宋体"/>
          <w:color w:val="auto"/>
          <w:szCs w:val="21"/>
        </w:rPr>
        <w:t>7.伴随服务</w:t>
      </w:r>
    </w:p>
    <w:p w14:paraId="144389A7">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(1)卖方除应履行按期按量交付合格标的物的义务之外，还应提供下列服务：</w:t>
      </w:r>
    </w:p>
    <w:p w14:paraId="3847404E">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&lt;1&gt;标的物的现场安装或指导安装、启动、调试、监督（如果必须安装、调试的话）；</w:t>
      </w:r>
    </w:p>
    <w:p w14:paraId="7BB8B534">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&lt;2&gt;提供标的物组装和一般维修所必须的工具；</w:t>
      </w:r>
    </w:p>
    <w:p w14:paraId="1E4583FA">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&lt;3&gt;在合同规定的期限内对所提供标的物实行运行监督、维修服务的前提条件是该服务并不能免除卖方在质量保证期内所承担的义务；</w:t>
      </w:r>
    </w:p>
    <w:p w14:paraId="43CCC507">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&lt;4&gt;对买方技术人员的技术指导或培训。</w:t>
      </w:r>
    </w:p>
    <w:p w14:paraId="5AEAFC14">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(2)除合同另有规定之外，伴随服务的费用均已含在合同价款中，买方不再另行进行支付。</w:t>
      </w:r>
    </w:p>
    <w:p w14:paraId="6F5CD9D1">
      <w:pPr>
        <w:spacing w:line="440" w:lineRule="exact"/>
        <w:rPr>
          <w:rFonts w:ascii="宋体" w:cs="宋体"/>
          <w:b/>
          <w:color w:val="auto"/>
          <w:szCs w:val="21"/>
        </w:rPr>
      </w:pPr>
      <w:r>
        <w:rPr>
          <w:rFonts w:hint="eastAsia" w:ascii="宋体" w:cs="宋体"/>
          <w:b/>
          <w:color w:val="auto"/>
          <w:szCs w:val="21"/>
        </w:rPr>
        <w:t>三.  标的物的交付、检验和验收</w:t>
      </w:r>
    </w:p>
    <w:p w14:paraId="4214BDAA">
      <w:pPr>
        <w:spacing w:line="440" w:lineRule="exact"/>
        <w:rPr>
          <w:rFonts w:ascii="宋体" w:cs="宋体"/>
          <w:color w:val="auto"/>
          <w:szCs w:val="21"/>
        </w:rPr>
      </w:pPr>
      <w:r>
        <w:rPr>
          <w:rFonts w:hint="eastAsia" w:ascii="宋体" w:cs="宋体"/>
          <w:color w:val="auto"/>
          <w:szCs w:val="21"/>
        </w:rPr>
        <w:t>8.标的物的交付</w:t>
      </w:r>
    </w:p>
    <w:p w14:paraId="39F168CD">
      <w:pPr>
        <w:pStyle w:val="13"/>
        <w:spacing w:line="440" w:lineRule="exact"/>
        <w:ind w:firstLine="525" w:firstLineChars="250"/>
        <w:rPr>
          <w:rFonts w:ascii="宋体" w:cs="宋体"/>
          <w:sz w:val="21"/>
          <w:szCs w:val="21"/>
          <w:u w:color="000000"/>
        </w:rPr>
      </w:pPr>
      <w:r>
        <w:rPr>
          <w:rFonts w:hint="eastAsia" w:ascii="宋体" w:cs="宋体"/>
          <w:sz w:val="21"/>
          <w:szCs w:val="21"/>
          <w:u w:color="000000"/>
        </w:rPr>
        <w:t>(1)标的物的所有权自标的物交付时转移。</w:t>
      </w:r>
    </w:p>
    <w:p w14:paraId="2794DEE1">
      <w:pPr>
        <w:pStyle w:val="13"/>
        <w:spacing w:line="440" w:lineRule="exact"/>
        <w:ind w:firstLine="525" w:firstLineChars="250"/>
        <w:rPr>
          <w:rFonts w:ascii="宋体" w:cs="宋体"/>
          <w:sz w:val="21"/>
          <w:szCs w:val="21"/>
          <w:u w:color="000000"/>
        </w:rPr>
      </w:pPr>
      <w:r>
        <w:rPr>
          <w:rFonts w:hint="eastAsia" w:ascii="宋体" w:cs="宋体"/>
          <w:sz w:val="21"/>
          <w:szCs w:val="21"/>
          <w:u w:color="000000"/>
        </w:rPr>
        <w:t>(2)卖方应当按照约定的期限和约定的地点交付符合招标文件要求的标的物。</w:t>
      </w:r>
    </w:p>
    <w:p w14:paraId="5FBEFC5D">
      <w:pPr>
        <w:pStyle w:val="13"/>
        <w:spacing w:line="440" w:lineRule="exact"/>
        <w:ind w:firstLine="525" w:firstLineChars="250"/>
        <w:rPr>
          <w:rFonts w:ascii="宋体" w:cs="宋体"/>
          <w:sz w:val="21"/>
          <w:szCs w:val="21"/>
          <w:u w:color="000000"/>
        </w:rPr>
      </w:pPr>
      <w:r>
        <w:rPr>
          <w:rFonts w:hint="eastAsia" w:ascii="宋体" w:cs="宋体"/>
          <w:sz w:val="21"/>
          <w:szCs w:val="21"/>
          <w:u w:color="000000"/>
        </w:rPr>
        <w:t>(3)卖方应当按照约定或者交易习惯向采购人交付提取标的物单证以外的有关单证和资料。</w:t>
      </w:r>
    </w:p>
    <w:p w14:paraId="1DBA3A9A">
      <w:pPr>
        <w:spacing w:line="440" w:lineRule="exact"/>
        <w:rPr>
          <w:rFonts w:ascii="宋体" w:cs="宋体"/>
          <w:color w:val="auto"/>
          <w:szCs w:val="21"/>
        </w:rPr>
      </w:pPr>
      <w:r>
        <w:rPr>
          <w:rFonts w:hint="eastAsia" w:ascii="宋体" w:cs="宋体"/>
          <w:color w:val="auto"/>
          <w:szCs w:val="21"/>
        </w:rPr>
        <w:t>9.检验和验收</w:t>
      </w:r>
    </w:p>
    <w:p w14:paraId="14B5F10F">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1073B8B0">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(2)买方根据合同规定的内容和验收标准进行验收，经检验无误后出具验收合格证明，该证明作为最终付款所需文件的组成部分。</w:t>
      </w:r>
    </w:p>
    <w:p w14:paraId="6A43D91F">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(3)验收期限自标的物交付之日起三十天内。特殊情况需延长的，双方应在合同条款中约定。</w:t>
      </w:r>
    </w:p>
    <w:p w14:paraId="07A3237E">
      <w:pPr>
        <w:spacing w:line="440" w:lineRule="exact"/>
        <w:rPr>
          <w:rFonts w:ascii="宋体" w:cs="宋体"/>
          <w:b/>
          <w:color w:val="auto"/>
          <w:szCs w:val="21"/>
        </w:rPr>
      </w:pPr>
      <w:r>
        <w:rPr>
          <w:rFonts w:hint="eastAsia" w:ascii="宋体" w:cs="宋体"/>
          <w:b/>
          <w:color w:val="auto"/>
          <w:szCs w:val="21"/>
        </w:rPr>
        <w:t>四. 对标的物提出异议的时间和办法</w:t>
      </w:r>
    </w:p>
    <w:p w14:paraId="6397E5ED">
      <w:pPr>
        <w:spacing w:line="440" w:lineRule="exact"/>
        <w:rPr>
          <w:rFonts w:ascii="宋体" w:cs="宋体"/>
          <w:color w:val="auto"/>
          <w:szCs w:val="21"/>
        </w:rPr>
      </w:pPr>
      <w:r>
        <w:rPr>
          <w:rFonts w:hint="eastAsia" w:ascii="宋体" w:cs="宋体"/>
          <w:color w:val="auto"/>
          <w:szCs w:val="21"/>
        </w:rPr>
        <w:t xml:space="preserve">10.对标的物提出异议的时间和办法 </w:t>
      </w:r>
    </w:p>
    <w:p w14:paraId="79D501DD">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(1)买方在验收过程中，应当于双方约定的检验期间内将标的物的数量或质量不符合约定的情形及处理方式以书面形式通知卖方。</w:t>
      </w:r>
    </w:p>
    <w:p w14:paraId="51EE7188">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(2)如买方在验收期满后既不出具验收合格证明又未提出书面异议的视为卖方所交标的物符合合同规定。</w:t>
      </w:r>
    </w:p>
    <w:p w14:paraId="0B8E10E6">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(3)卖方应在收到买方书面异议后七天内负责处理问题，否则将视为默认买方提出的异议和处理意见。</w:t>
      </w:r>
    </w:p>
    <w:p w14:paraId="012A1A4A">
      <w:pPr>
        <w:spacing w:line="440" w:lineRule="exact"/>
        <w:rPr>
          <w:rFonts w:ascii="宋体" w:cs="宋体"/>
          <w:b/>
          <w:color w:val="auto"/>
          <w:szCs w:val="21"/>
        </w:rPr>
      </w:pPr>
      <w:r>
        <w:rPr>
          <w:rFonts w:hint="eastAsia" w:ascii="宋体" w:cs="宋体"/>
          <w:b/>
          <w:color w:val="auto"/>
          <w:szCs w:val="21"/>
        </w:rPr>
        <w:t>五. 合同价款和支付</w:t>
      </w:r>
    </w:p>
    <w:p w14:paraId="490A2D05">
      <w:pPr>
        <w:spacing w:line="440" w:lineRule="exact"/>
        <w:rPr>
          <w:rFonts w:ascii="宋体" w:cs="宋体"/>
          <w:color w:val="auto"/>
          <w:szCs w:val="21"/>
        </w:rPr>
      </w:pPr>
      <w:r>
        <w:rPr>
          <w:rFonts w:hint="eastAsia" w:ascii="宋体" w:cs="宋体"/>
          <w:color w:val="auto"/>
          <w:szCs w:val="21"/>
        </w:rPr>
        <w:t>11.合同价款和支付</w:t>
      </w:r>
    </w:p>
    <w:p w14:paraId="31279F34">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(1)本合同的结算货币为人民币，单位元。</w:t>
      </w:r>
    </w:p>
    <w:p w14:paraId="682FF41C">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(2)卖方应按照双方签订的合同规定交货并在合同主要条款规定的期限内持下列单据结算货款：</w:t>
      </w:r>
    </w:p>
    <w:p w14:paraId="1C05C218">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&lt;1&gt;合格的销售发票；</w:t>
      </w:r>
    </w:p>
    <w:p w14:paraId="17B6319F">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&lt;2&gt;买方盖章签收后的送货回单和验收合格证明。</w:t>
      </w:r>
    </w:p>
    <w:p w14:paraId="673F3A19">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(3)买方应按合同主要条款规定的期限和方式付款。</w:t>
      </w:r>
    </w:p>
    <w:p w14:paraId="4E8B15CA">
      <w:pPr>
        <w:pStyle w:val="13"/>
        <w:tabs>
          <w:tab w:val="left" w:pos="540"/>
        </w:tabs>
        <w:overflowPunct w:val="0"/>
        <w:spacing w:line="440" w:lineRule="exact"/>
        <w:ind w:firstLine="525" w:firstLineChars="250"/>
        <w:rPr>
          <w:rFonts w:ascii="宋体" w:cs="宋体"/>
          <w:sz w:val="21"/>
          <w:szCs w:val="21"/>
          <w:u w:color="000000"/>
        </w:rPr>
      </w:pPr>
      <w:r>
        <w:rPr>
          <w:rFonts w:hint="eastAsia" w:ascii="宋体" w:cs="宋体"/>
          <w:sz w:val="21"/>
          <w:szCs w:val="21"/>
          <w:u w:color="000000"/>
        </w:rPr>
        <w:t>(4)根据现行税法对买方征收的与本合同有关的一切税费均由买方承担；根据现行税法对卖方征收的与本合同有关的一切税费均由卖方承担。</w:t>
      </w:r>
    </w:p>
    <w:p w14:paraId="4CFB217A">
      <w:pPr>
        <w:spacing w:line="440" w:lineRule="exact"/>
        <w:rPr>
          <w:rFonts w:ascii="宋体" w:cs="宋体"/>
          <w:b/>
          <w:color w:val="auto"/>
          <w:szCs w:val="21"/>
        </w:rPr>
      </w:pPr>
      <w:r>
        <w:rPr>
          <w:rFonts w:hint="eastAsia" w:ascii="宋体" w:cs="宋体"/>
          <w:b/>
          <w:color w:val="auto"/>
          <w:szCs w:val="21"/>
        </w:rPr>
        <w:t>六. 违约责任</w:t>
      </w:r>
    </w:p>
    <w:p w14:paraId="7D9729B5">
      <w:pPr>
        <w:spacing w:line="440" w:lineRule="exact"/>
        <w:rPr>
          <w:rFonts w:ascii="宋体" w:cs="宋体"/>
          <w:color w:val="auto"/>
          <w:szCs w:val="21"/>
        </w:rPr>
      </w:pPr>
      <w:r>
        <w:rPr>
          <w:rFonts w:hint="eastAsia" w:ascii="宋体" w:cs="宋体"/>
          <w:color w:val="auto"/>
          <w:szCs w:val="21"/>
        </w:rPr>
        <w:t>12.违约责任</w:t>
      </w:r>
    </w:p>
    <w:p w14:paraId="60494D46">
      <w:pPr>
        <w:pStyle w:val="13"/>
        <w:spacing w:line="440" w:lineRule="exact"/>
        <w:ind w:firstLine="472" w:firstLineChars="225"/>
        <w:rPr>
          <w:rFonts w:ascii="宋体" w:cs="宋体"/>
          <w:sz w:val="21"/>
          <w:szCs w:val="21"/>
          <w:u w:color="000000"/>
        </w:rPr>
      </w:pPr>
      <w:r>
        <w:rPr>
          <w:rFonts w:hint="eastAsia" w:ascii="宋体" w:cs="宋体"/>
          <w:sz w:val="21"/>
          <w:szCs w:val="21"/>
          <w:u w:color="000000"/>
        </w:rPr>
        <w:t>合同一方不履行合同义务或者履行合同义务不符合约定的，应当承担继续履行、采取补救措施或者赔偿损失等违约责任。</w:t>
      </w:r>
    </w:p>
    <w:p w14:paraId="596BC23F">
      <w:pPr>
        <w:spacing w:line="440" w:lineRule="exact"/>
        <w:rPr>
          <w:rFonts w:ascii="宋体" w:cs="宋体"/>
          <w:color w:val="auto"/>
          <w:szCs w:val="21"/>
        </w:rPr>
      </w:pPr>
      <w:r>
        <w:rPr>
          <w:rFonts w:hint="eastAsia" w:ascii="宋体" w:cs="宋体"/>
          <w:color w:val="auto"/>
          <w:szCs w:val="21"/>
        </w:rPr>
        <w:t>13.买方违约责任</w:t>
      </w:r>
    </w:p>
    <w:p w14:paraId="035AC214">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(1)在合同生效后，买方要求退货的，应向卖方偿付合同总价款的5%，作为违约金，违约金不足以补偿损失的，卖方有权要求甲方补足。</w:t>
      </w:r>
    </w:p>
    <w:p w14:paraId="2BB81398">
      <w:pPr>
        <w:pStyle w:val="13"/>
        <w:overflowPunct w:val="0"/>
        <w:spacing w:line="440" w:lineRule="exact"/>
        <w:ind w:right="-334" w:rightChars="-159" w:firstLine="525" w:firstLineChars="250"/>
        <w:rPr>
          <w:rFonts w:ascii="宋体" w:cs="宋体"/>
          <w:sz w:val="21"/>
          <w:szCs w:val="21"/>
          <w:u w:color="000000"/>
        </w:rPr>
      </w:pPr>
      <w:r>
        <w:rPr>
          <w:rFonts w:hint="eastAsia" w:ascii="宋体" w:cs="宋体"/>
          <w:sz w:val="21"/>
          <w:szCs w:val="21"/>
          <w:u w:color="000000"/>
        </w:rPr>
        <w:t>(2)买方逾期付款的应按照逾期付款金额的每天万分之四支付逾期付款违约金。</w:t>
      </w:r>
    </w:p>
    <w:p w14:paraId="6AEE4932">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(3)买方违反合同规定，拒绝接收卖方交付的符合招标文件要求的合格标的物，应当承担卖方由此造成的损失。</w:t>
      </w:r>
    </w:p>
    <w:p w14:paraId="598C7B0E">
      <w:pPr>
        <w:spacing w:line="440" w:lineRule="exact"/>
        <w:rPr>
          <w:rFonts w:ascii="宋体" w:cs="宋体"/>
          <w:color w:val="auto"/>
          <w:szCs w:val="21"/>
        </w:rPr>
      </w:pPr>
      <w:r>
        <w:rPr>
          <w:rFonts w:hint="eastAsia" w:ascii="宋体" w:cs="宋体"/>
          <w:color w:val="auto"/>
          <w:szCs w:val="21"/>
        </w:rPr>
        <w:t>14.卖方违约责任</w:t>
      </w:r>
    </w:p>
    <w:p w14:paraId="409B2210">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(1)卖方不能交货（逾期超过五天视为不能交货），或交货不合格从而影响买方按期正常使用的，应向买方偿付合同总价款5%的违约金，违约金不足以补偿损失的，买方有权要求卖方补足。</w:t>
      </w:r>
    </w:p>
    <w:p w14:paraId="51EB527F">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68FD3167">
      <w:pPr>
        <w:spacing w:line="440" w:lineRule="exact"/>
        <w:rPr>
          <w:rFonts w:ascii="宋体" w:cs="宋体"/>
          <w:color w:val="auto"/>
          <w:szCs w:val="21"/>
        </w:rPr>
      </w:pPr>
      <w:r>
        <w:rPr>
          <w:rFonts w:hint="eastAsia" w:ascii="宋体" w:cs="宋体"/>
          <w:color w:val="auto"/>
          <w:szCs w:val="21"/>
        </w:rPr>
        <w:t>15.不可抗力</w:t>
      </w:r>
    </w:p>
    <w:p w14:paraId="641EF4D2">
      <w:pPr>
        <w:pStyle w:val="13"/>
        <w:spacing w:line="440" w:lineRule="exact"/>
        <w:ind w:firstLine="525" w:firstLineChars="250"/>
        <w:rPr>
          <w:rFonts w:ascii="宋体" w:cs="宋体"/>
          <w:sz w:val="21"/>
          <w:szCs w:val="21"/>
          <w:u w:color="000000"/>
        </w:rPr>
      </w:pPr>
      <w:r>
        <w:rPr>
          <w:rFonts w:hint="eastAsia" w:ascii="宋体" w:cs="宋体"/>
          <w:sz w:val="21"/>
          <w:szCs w:val="21"/>
          <w:u w:color="000000"/>
        </w:rPr>
        <w:t>(1)因水灾、火灾、地震、战争等不可抗力不能履行合同的，根据不可抗力的影响，部分或者全部免除责任。但合同一方迟延履行后发生不可抗力的，不能免除责任。</w:t>
      </w:r>
    </w:p>
    <w:p w14:paraId="45B037D7">
      <w:pPr>
        <w:pStyle w:val="13"/>
        <w:spacing w:line="440" w:lineRule="exact"/>
        <w:ind w:firstLine="525" w:firstLineChars="250"/>
        <w:rPr>
          <w:rFonts w:ascii="宋体" w:cs="宋体"/>
          <w:sz w:val="21"/>
          <w:szCs w:val="21"/>
          <w:u w:color="000000"/>
        </w:rPr>
      </w:pPr>
      <w:r>
        <w:rPr>
          <w:rFonts w:hint="eastAsia" w:ascii="宋体" w:cs="宋体"/>
          <w:sz w:val="21"/>
          <w:szCs w:val="21"/>
          <w:u w:color="000000"/>
        </w:rPr>
        <w:t>(2)合同一方因不可抗力不能履行合同的，应当及时通知对方，以减轻可能给对方造成的损失，并应当在合理期限内提供证明。</w:t>
      </w:r>
    </w:p>
    <w:p w14:paraId="2E9E330F">
      <w:pPr>
        <w:spacing w:line="440" w:lineRule="exact"/>
        <w:rPr>
          <w:rFonts w:ascii="宋体" w:cs="宋体"/>
          <w:b/>
          <w:color w:val="auto"/>
          <w:szCs w:val="21"/>
        </w:rPr>
      </w:pPr>
      <w:r>
        <w:rPr>
          <w:rFonts w:hint="eastAsia" w:ascii="宋体" w:cs="宋体"/>
          <w:b/>
          <w:color w:val="auto"/>
          <w:szCs w:val="21"/>
        </w:rPr>
        <w:t>七. 索赔</w:t>
      </w:r>
    </w:p>
    <w:p w14:paraId="370966EF">
      <w:pPr>
        <w:spacing w:line="440" w:lineRule="exact"/>
        <w:rPr>
          <w:rFonts w:ascii="宋体" w:cs="宋体"/>
          <w:color w:val="auto"/>
          <w:szCs w:val="21"/>
        </w:rPr>
      </w:pPr>
      <w:r>
        <w:rPr>
          <w:rFonts w:hint="eastAsia" w:ascii="宋体" w:cs="宋体"/>
          <w:color w:val="auto"/>
          <w:szCs w:val="21"/>
        </w:rPr>
        <w:t>16.索赔</w:t>
      </w:r>
    </w:p>
    <w:p w14:paraId="1B9CDF3C">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(1)买方有权根据当地产品质量检验机构或其它有权威部门出具的检验证书向卖方提出索赔。</w:t>
      </w:r>
    </w:p>
    <w:p w14:paraId="1656A25B">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(2)在本合同规定的检验期和质量保证期内，如果卖方对买方提出的索赔或差异有责任，则卖方应按买方同意的下列一种或多种方式解决索赔事宜：</w:t>
      </w:r>
    </w:p>
    <w:p w14:paraId="36F6DDE9">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4F191955">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&lt;2&gt;根据标的物的低劣程度、损坏程度以及甲方遭受损失的数额，经双方协商确定降低标的物的价格；</w:t>
      </w:r>
    </w:p>
    <w:p w14:paraId="25297C48">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A62E23C">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2C1F8F91">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(4)买方提出索赔的书面材料应报当地政府采购管理部门备案。卖方同意的索赔方案应报当地政府采购管理部门审核。</w:t>
      </w:r>
    </w:p>
    <w:p w14:paraId="068EB7B5">
      <w:pPr>
        <w:spacing w:line="440" w:lineRule="exact"/>
        <w:rPr>
          <w:rFonts w:ascii="宋体" w:cs="宋体"/>
          <w:b/>
          <w:color w:val="auto"/>
          <w:szCs w:val="21"/>
        </w:rPr>
      </w:pPr>
      <w:r>
        <w:rPr>
          <w:rFonts w:hint="eastAsia" w:ascii="宋体" w:cs="宋体"/>
          <w:b/>
          <w:color w:val="auto"/>
          <w:szCs w:val="21"/>
        </w:rPr>
        <w:t>八. 履约保证金</w:t>
      </w:r>
    </w:p>
    <w:p w14:paraId="5F383B02">
      <w:pPr>
        <w:spacing w:line="440" w:lineRule="exact"/>
        <w:rPr>
          <w:rFonts w:ascii="宋体" w:cs="宋体"/>
          <w:color w:val="auto"/>
          <w:szCs w:val="21"/>
        </w:rPr>
      </w:pPr>
      <w:r>
        <w:rPr>
          <w:rFonts w:hint="eastAsia" w:ascii="宋体" w:cs="宋体"/>
          <w:color w:val="auto"/>
          <w:szCs w:val="21"/>
        </w:rPr>
        <w:t>17.履约保证金（本项目不采用）</w:t>
      </w:r>
    </w:p>
    <w:p w14:paraId="7D91EDD6">
      <w:pPr>
        <w:pStyle w:val="13"/>
        <w:overflowPunct w:val="0"/>
        <w:spacing w:line="440" w:lineRule="exact"/>
        <w:ind w:right="-334" w:rightChars="-159" w:firstLine="0"/>
        <w:rPr>
          <w:rFonts w:ascii="宋体" w:cs="宋体"/>
          <w:b/>
          <w:kern w:val="2"/>
          <w:sz w:val="21"/>
          <w:szCs w:val="21"/>
        </w:rPr>
      </w:pPr>
      <w:r>
        <w:rPr>
          <w:rFonts w:hint="eastAsia" w:ascii="宋体" w:cs="宋体"/>
          <w:b/>
          <w:kern w:val="2"/>
          <w:sz w:val="21"/>
          <w:szCs w:val="21"/>
        </w:rPr>
        <w:t>九.  合同的解除和转让</w:t>
      </w:r>
    </w:p>
    <w:p w14:paraId="4149BAB4">
      <w:pPr>
        <w:spacing w:line="440" w:lineRule="exact"/>
        <w:rPr>
          <w:rFonts w:ascii="宋体" w:cs="宋体"/>
          <w:color w:val="auto"/>
          <w:szCs w:val="21"/>
        </w:rPr>
      </w:pPr>
      <w:r>
        <w:rPr>
          <w:rFonts w:hint="eastAsia" w:ascii="宋体" w:cs="宋体"/>
          <w:color w:val="auto"/>
          <w:szCs w:val="21"/>
        </w:rPr>
        <w:t>18.合同的解除</w:t>
      </w:r>
    </w:p>
    <w:p w14:paraId="27A45455">
      <w:pPr>
        <w:pStyle w:val="13"/>
        <w:spacing w:line="440" w:lineRule="exact"/>
        <w:ind w:firstLine="525" w:firstLineChars="250"/>
        <w:rPr>
          <w:rFonts w:ascii="宋体" w:cs="宋体"/>
          <w:sz w:val="21"/>
          <w:szCs w:val="21"/>
          <w:u w:color="000000"/>
        </w:rPr>
      </w:pPr>
      <w:r>
        <w:rPr>
          <w:rFonts w:hint="eastAsia" w:ascii="宋体" w:cs="宋体"/>
          <w:sz w:val="21"/>
          <w:szCs w:val="21"/>
          <w:u w:color="000000"/>
        </w:rPr>
        <w:t>(1)买方和卖方协商一致，可以解除合同。</w:t>
      </w:r>
    </w:p>
    <w:p w14:paraId="2B7C6AEE">
      <w:pPr>
        <w:pStyle w:val="13"/>
        <w:spacing w:line="440" w:lineRule="exact"/>
        <w:ind w:firstLine="525" w:firstLineChars="250"/>
        <w:rPr>
          <w:rFonts w:ascii="宋体" w:cs="宋体"/>
          <w:sz w:val="21"/>
          <w:szCs w:val="21"/>
          <w:u w:color="000000"/>
        </w:rPr>
      </w:pPr>
      <w:r>
        <w:rPr>
          <w:rFonts w:hint="eastAsia" w:ascii="宋体" w:cs="宋体"/>
          <w:sz w:val="21"/>
          <w:szCs w:val="21"/>
          <w:u w:color="000000"/>
        </w:rPr>
        <w:t>(2)有下列情形之一，合同一方可以解除合同：</w:t>
      </w:r>
    </w:p>
    <w:p w14:paraId="269A0015">
      <w:pPr>
        <w:pStyle w:val="13"/>
        <w:spacing w:line="440" w:lineRule="exact"/>
        <w:ind w:firstLine="525" w:firstLineChars="250"/>
        <w:rPr>
          <w:rFonts w:ascii="宋体" w:cs="宋体"/>
          <w:sz w:val="21"/>
          <w:szCs w:val="21"/>
          <w:u w:color="000000"/>
        </w:rPr>
      </w:pPr>
      <w:r>
        <w:rPr>
          <w:rFonts w:hint="eastAsia" w:ascii="宋体" w:cs="宋体"/>
          <w:sz w:val="21"/>
          <w:szCs w:val="21"/>
          <w:u w:color="000000"/>
        </w:rPr>
        <w:t>&lt;1&gt;因不可抗力致使不能实现合同目的，未受不可抗力影响的一方有权解除合同；</w:t>
      </w:r>
    </w:p>
    <w:p w14:paraId="01C0EFFA">
      <w:pPr>
        <w:pStyle w:val="13"/>
        <w:spacing w:line="440" w:lineRule="exact"/>
        <w:ind w:firstLine="525" w:firstLineChars="250"/>
        <w:rPr>
          <w:rFonts w:ascii="宋体" w:cs="宋体"/>
          <w:sz w:val="21"/>
          <w:szCs w:val="21"/>
          <w:u w:color="000000"/>
        </w:rPr>
      </w:pPr>
      <w:r>
        <w:rPr>
          <w:rFonts w:hint="eastAsia" w:ascii="宋体" w:cs="宋体"/>
          <w:sz w:val="21"/>
          <w:szCs w:val="21"/>
          <w:u w:color="000000"/>
        </w:rPr>
        <w:t>&lt;2&gt;因合同一方违约导致合同不能履行，另一方有权解除合同。</w:t>
      </w:r>
    </w:p>
    <w:p w14:paraId="58AFB0B4">
      <w:pPr>
        <w:pStyle w:val="13"/>
        <w:spacing w:line="440" w:lineRule="exact"/>
        <w:ind w:firstLine="525" w:firstLineChars="250"/>
        <w:rPr>
          <w:rFonts w:ascii="宋体" w:cs="宋体"/>
          <w:sz w:val="21"/>
          <w:szCs w:val="21"/>
          <w:u w:color="000000"/>
        </w:rPr>
      </w:pPr>
      <w:r>
        <w:rPr>
          <w:rFonts w:hint="eastAsia" w:ascii="宋体" w:cs="宋体"/>
          <w:sz w:val="21"/>
          <w:szCs w:val="21"/>
          <w:u w:color="000000"/>
        </w:rPr>
        <w:t>(3)有权解除合同的一方，应当在违约事实或不可抗力发生之后三十天内书面通知对方以主张解除合同，合同在书面通知到达对方时解除。</w:t>
      </w:r>
    </w:p>
    <w:p w14:paraId="3B382DCD">
      <w:pPr>
        <w:spacing w:line="440" w:lineRule="exact"/>
        <w:rPr>
          <w:rFonts w:ascii="宋体" w:cs="宋体"/>
          <w:color w:val="auto"/>
          <w:szCs w:val="21"/>
        </w:rPr>
      </w:pPr>
      <w:r>
        <w:rPr>
          <w:rFonts w:hint="eastAsia" w:ascii="宋体" w:cs="宋体"/>
          <w:color w:val="auto"/>
          <w:szCs w:val="21"/>
        </w:rPr>
        <w:t>19.合同的转让</w:t>
      </w:r>
    </w:p>
    <w:p w14:paraId="74CC5F81">
      <w:pPr>
        <w:spacing w:line="440" w:lineRule="exact"/>
        <w:rPr>
          <w:rFonts w:ascii="宋体" w:cs="宋体"/>
          <w:color w:val="auto"/>
          <w:szCs w:val="21"/>
        </w:rPr>
      </w:pPr>
      <w:r>
        <w:rPr>
          <w:rFonts w:hint="eastAsia" w:ascii="宋体" w:cs="宋体"/>
          <w:color w:val="auto"/>
          <w:szCs w:val="21"/>
        </w:rPr>
        <w:t xml:space="preserve">      合同的部分和全部都不得转让。</w:t>
      </w:r>
    </w:p>
    <w:p w14:paraId="0AC130F2">
      <w:pPr>
        <w:spacing w:line="440" w:lineRule="exact"/>
        <w:rPr>
          <w:rFonts w:ascii="宋体" w:cs="宋体"/>
          <w:b/>
          <w:color w:val="auto"/>
          <w:szCs w:val="21"/>
        </w:rPr>
      </w:pPr>
      <w:r>
        <w:rPr>
          <w:rFonts w:hint="eastAsia" w:ascii="宋体" w:cs="宋体"/>
          <w:b/>
          <w:color w:val="auto"/>
          <w:szCs w:val="21"/>
        </w:rPr>
        <w:t>十. 合同的生效</w:t>
      </w:r>
    </w:p>
    <w:p w14:paraId="159C844C">
      <w:pPr>
        <w:spacing w:line="440" w:lineRule="exact"/>
        <w:rPr>
          <w:rFonts w:ascii="宋体" w:cs="宋体"/>
          <w:color w:val="auto"/>
          <w:szCs w:val="21"/>
        </w:rPr>
      </w:pPr>
      <w:r>
        <w:rPr>
          <w:rFonts w:hint="eastAsia" w:ascii="宋体" w:cs="宋体"/>
          <w:color w:val="auto"/>
          <w:szCs w:val="21"/>
        </w:rPr>
        <w:t>20.合同的生效</w:t>
      </w:r>
    </w:p>
    <w:p w14:paraId="51537681">
      <w:pPr>
        <w:spacing w:line="440" w:lineRule="exact"/>
        <w:ind w:firstLine="581" w:firstLineChars="277"/>
        <w:rPr>
          <w:rFonts w:ascii="宋体" w:cs="宋体"/>
          <w:color w:val="auto"/>
          <w:szCs w:val="21"/>
        </w:rPr>
      </w:pPr>
      <w:r>
        <w:rPr>
          <w:rFonts w:hint="eastAsia" w:ascii="宋体" w:cs="宋体"/>
          <w:color w:val="auto"/>
          <w:szCs w:val="21"/>
        </w:rPr>
        <w:t>本合同在双方签字盖章后生效。</w:t>
      </w:r>
    </w:p>
    <w:p w14:paraId="2B891029">
      <w:pPr>
        <w:spacing w:line="440" w:lineRule="exact"/>
        <w:rPr>
          <w:rFonts w:ascii="宋体" w:cs="宋体"/>
          <w:b/>
          <w:color w:val="auto"/>
          <w:szCs w:val="21"/>
        </w:rPr>
      </w:pPr>
      <w:r>
        <w:rPr>
          <w:rFonts w:hint="eastAsia" w:ascii="宋体" w:cs="宋体"/>
          <w:b/>
          <w:color w:val="auto"/>
          <w:szCs w:val="21"/>
        </w:rPr>
        <w:t>十一. 争议解决</w:t>
      </w:r>
    </w:p>
    <w:p w14:paraId="0C457837">
      <w:pPr>
        <w:spacing w:line="440" w:lineRule="exact"/>
        <w:ind w:firstLine="210" w:firstLineChars="100"/>
        <w:rPr>
          <w:rFonts w:ascii="宋体" w:cs="宋体"/>
          <w:color w:val="auto"/>
          <w:szCs w:val="21"/>
        </w:rPr>
      </w:pPr>
      <w:r>
        <w:rPr>
          <w:rFonts w:hint="eastAsia" w:ascii="宋体" w:cs="宋体"/>
          <w:color w:val="auto"/>
          <w:szCs w:val="21"/>
        </w:rPr>
        <w:t>21.争议解决</w:t>
      </w:r>
    </w:p>
    <w:p w14:paraId="4EB5CE1C">
      <w:pPr>
        <w:pStyle w:val="13"/>
        <w:overflowPunct w:val="0"/>
        <w:spacing w:line="440" w:lineRule="exact"/>
        <w:rPr>
          <w:rFonts w:ascii="宋体" w:cs="宋体"/>
          <w:sz w:val="21"/>
          <w:szCs w:val="21"/>
          <w:u w:color="000000"/>
        </w:rPr>
      </w:pPr>
      <w:r>
        <w:rPr>
          <w:rFonts w:hint="eastAsia" w:ascii="宋体" w:cs="宋体"/>
          <w:sz w:val="21"/>
          <w:szCs w:val="21"/>
          <w:u w:color="000000"/>
        </w:rPr>
        <w:t xml:space="preserve"> 买卖双方因合同发生争议，进行调解，协商不成，可选择：</w:t>
      </w:r>
    </w:p>
    <w:p w14:paraId="612CC42D">
      <w:pPr>
        <w:pStyle w:val="13"/>
        <w:overflowPunct w:val="0"/>
        <w:spacing w:line="440" w:lineRule="exact"/>
        <w:ind w:firstLine="525" w:firstLineChars="250"/>
        <w:rPr>
          <w:rFonts w:ascii="宋体" w:cs="宋体"/>
          <w:sz w:val="21"/>
          <w:szCs w:val="21"/>
          <w:u w:color="000000"/>
        </w:rPr>
      </w:pPr>
      <w:r>
        <w:rPr>
          <w:rFonts w:hint="eastAsia" w:ascii="宋体" w:cs="宋体"/>
          <w:sz w:val="21"/>
          <w:szCs w:val="21"/>
          <w:u w:color="000000"/>
        </w:rPr>
        <w:t>(1)双方同时</w:t>
      </w:r>
      <w:r>
        <w:rPr>
          <w:rFonts w:hint="eastAsia" w:ascii="宋体" w:hAnsi="宋体"/>
          <w:sz w:val="21"/>
          <w:szCs w:val="21"/>
        </w:rPr>
        <w:t>将争议提交滁州仲裁委员会</w:t>
      </w:r>
      <w:r>
        <w:rPr>
          <w:rFonts w:hint="eastAsia" w:ascii="宋体" w:cs="宋体"/>
          <w:sz w:val="21"/>
          <w:szCs w:val="21"/>
          <w:u w:color="000000"/>
        </w:rPr>
        <w:t>进行仲裁；</w:t>
      </w:r>
    </w:p>
    <w:p w14:paraId="3DA96E91">
      <w:pPr>
        <w:pStyle w:val="13"/>
        <w:tabs>
          <w:tab w:val="left" w:pos="900"/>
        </w:tabs>
        <w:overflowPunct w:val="0"/>
        <w:spacing w:line="440" w:lineRule="exact"/>
        <w:ind w:firstLine="525" w:firstLineChars="250"/>
        <w:rPr>
          <w:rFonts w:ascii="宋体" w:cs="宋体"/>
          <w:sz w:val="21"/>
          <w:szCs w:val="21"/>
          <w:u w:color="000000"/>
        </w:rPr>
      </w:pPr>
      <w:r>
        <w:rPr>
          <w:rFonts w:hint="eastAsia" w:ascii="宋体" w:cs="宋体"/>
          <w:sz w:val="21"/>
          <w:szCs w:val="21"/>
          <w:u w:color="000000"/>
        </w:rPr>
        <w:t>(2)向买方所在地人民法院提起诉讼。</w:t>
      </w:r>
    </w:p>
    <w:p w14:paraId="153A1FAF">
      <w:pPr>
        <w:spacing w:line="440" w:lineRule="exact"/>
        <w:rPr>
          <w:rFonts w:ascii="宋体" w:cs="宋体"/>
          <w:b/>
          <w:color w:val="auto"/>
          <w:szCs w:val="21"/>
        </w:rPr>
      </w:pPr>
      <w:r>
        <w:rPr>
          <w:rFonts w:hint="eastAsia" w:ascii="宋体" w:cs="宋体"/>
          <w:b/>
          <w:color w:val="auto"/>
          <w:szCs w:val="21"/>
        </w:rPr>
        <w:t>十二 .附则</w:t>
      </w:r>
    </w:p>
    <w:p w14:paraId="0CF61A05">
      <w:pPr>
        <w:spacing w:line="440" w:lineRule="exact"/>
        <w:ind w:firstLine="210" w:firstLineChars="100"/>
        <w:rPr>
          <w:rFonts w:ascii="宋体" w:cs="宋体"/>
          <w:color w:val="auto"/>
          <w:szCs w:val="21"/>
        </w:rPr>
      </w:pPr>
      <w:r>
        <w:rPr>
          <w:rFonts w:hint="eastAsia" w:ascii="宋体" w:cs="宋体"/>
          <w:color w:val="auto"/>
          <w:szCs w:val="21"/>
        </w:rPr>
        <w:t>22.合同份数。</w:t>
      </w:r>
    </w:p>
    <w:p w14:paraId="411BBCA2">
      <w:pPr>
        <w:spacing w:line="440" w:lineRule="exact"/>
        <w:rPr>
          <w:rFonts w:ascii="宋体" w:cs="宋体"/>
          <w:color w:val="auto"/>
          <w:szCs w:val="21"/>
        </w:rPr>
      </w:pPr>
      <w:r>
        <w:rPr>
          <w:rFonts w:hint="eastAsia" w:ascii="宋体" w:cs="宋体"/>
          <w:color w:val="auto"/>
          <w:szCs w:val="21"/>
        </w:rPr>
        <w:t xml:space="preserve"> </w:t>
      </w:r>
      <w:r>
        <w:rPr>
          <w:rFonts w:hint="eastAsia" w:ascii="宋体" w:cs="宋体"/>
          <w:color w:val="auto"/>
          <w:szCs w:val="21"/>
        </w:rPr>
        <w:tab/>
      </w:r>
      <w:r>
        <w:rPr>
          <w:rFonts w:hint="eastAsia" w:ascii="宋体" w:cs="宋体"/>
          <w:color w:val="auto"/>
          <w:szCs w:val="21"/>
        </w:rPr>
        <w:t xml:space="preserve">  本合同一式陆份，买卖双方各执二份，招标代理机构一份，招标采购管理部门一份。</w:t>
      </w:r>
    </w:p>
    <w:p w14:paraId="0CC32F42">
      <w:pPr>
        <w:spacing w:line="440" w:lineRule="exact"/>
        <w:ind w:firstLine="210" w:firstLineChars="100"/>
        <w:rPr>
          <w:rFonts w:ascii="宋体" w:cs="宋体"/>
          <w:color w:val="auto"/>
          <w:szCs w:val="21"/>
        </w:rPr>
      </w:pPr>
      <w:r>
        <w:rPr>
          <w:rFonts w:hint="eastAsia" w:ascii="宋体" w:cs="宋体"/>
          <w:color w:val="auto"/>
          <w:szCs w:val="21"/>
        </w:rPr>
        <w:t>23.未尽事宜</w:t>
      </w:r>
    </w:p>
    <w:p w14:paraId="5F6DBB84">
      <w:pPr>
        <w:spacing w:beforeLines="50" w:afterLines="50"/>
        <w:ind w:firstLine="630" w:firstLineChars="300"/>
        <w:jc w:val="left"/>
        <w:outlineLvl w:val="0"/>
        <w:rPr>
          <w:rFonts w:ascii="宋体" w:cs="宋体"/>
          <w:color w:val="auto"/>
          <w:szCs w:val="21"/>
        </w:rPr>
      </w:pPr>
      <w:r>
        <w:rPr>
          <w:rFonts w:hint="eastAsia" w:ascii="宋体" w:cs="宋体"/>
          <w:color w:val="auto"/>
          <w:szCs w:val="21"/>
        </w:rPr>
        <w:t>本合同未尽事宜应按《中华人民共和国政府采购法》、《中华人民共和国民法典》、《中华人民共和国产品质量法》之规定解释。</w:t>
      </w:r>
      <w:bookmarkEnd w:id="108"/>
    </w:p>
    <w:p w14:paraId="2B7550E7">
      <w:pPr>
        <w:pStyle w:val="2"/>
        <w:spacing w:beforeLines="50" w:afterLines="50" w:line="440" w:lineRule="exact"/>
        <w:rPr>
          <w:rFonts w:hAnsi="黑体" w:cs="黑体"/>
          <w:b/>
          <w:bCs/>
          <w:color w:val="auto"/>
        </w:rPr>
      </w:pPr>
    </w:p>
    <w:p w14:paraId="599EC8AB">
      <w:pPr>
        <w:pStyle w:val="2"/>
        <w:spacing w:beforeLines="50" w:afterLines="50" w:line="440" w:lineRule="exact"/>
        <w:rPr>
          <w:rFonts w:hAnsi="黑体" w:cs="黑体"/>
          <w:b/>
          <w:bCs/>
          <w:color w:val="auto"/>
        </w:rPr>
      </w:pPr>
    </w:p>
    <w:p w14:paraId="5D8186E7">
      <w:pPr>
        <w:pStyle w:val="2"/>
        <w:spacing w:beforeLines="50" w:afterLines="50" w:line="440" w:lineRule="exact"/>
        <w:jc w:val="both"/>
        <w:rPr>
          <w:rFonts w:hAnsi="黑体" w:cs="黑体"/>
          <w:b/>
          <w:bCs/>
          <w:color w:val="auto"/>
        </w:rPr>
      </w:pPr>
    </w:p>
    <w:p w14:paraId="391CC51B">
      <w:pPr>
        <w:rPr>
          <w:rFonts w:hAnsi="黑体" w:cs="黑体"/>
          <w:b/>
          <w:bCs/>
          <w:color w:val="auto"/>
        </w:rPr>
      </w:pPr>
    </w:p>
    <w:p w14:paraId="5C67535E">
      <w:pPr>
        <w:pStyle w:val="39"/>
        <w:ind w:firstLine="422"/>
        <w:rPr>
          <w:rFonts w:hAnsi="黑体" w:cs="黑体"/>
          <w:b/>
          <w:bCs/>
          <w:color w:val="auto"/>
        </w:rPr>
      </w:pPr>
    </w:p>
    <w:p w14:paraId="2427CE84">
      <w:pPr>
        <w:rPr>
          <w:rFonts w:hAnsi="黑体" w:cs="黑体"/>
          <w:b/>
          <w:bCs/>
          <w:color w:val="auto"/>
        </w:rPr>
      </w:pPr>
    </w:p>
    <w:p w14:paraId="54935729">
      <w:pPr>
        <w:pStyle w:val="39"/>
        <w:ind w:firstLine="422"/>
        <w:rPr>
          <w:rFonts w:hAnsi="黑体" w:cs="黑体"/>
          <w:b/>
          <w:bCs/>
          <w:color w:val="auto"/>
        </w:rPr>
      </w:pPr>
    </w:p>
    <w:p w14:paraId="215E8CA6">
      <w:pPr>
        <w:rPr>
          <w:rFonts w:hAnsi="黑体" w:cs="黑体"/>
          <w:b/>
          <w:bCs/>
          <w:color w:val="auto"/>
        </w:rPr>
      </w:pPr>
    </w:p>
    <w:p w14:paraId="1B3E8D3E">
      <w:pPr>
        <w:pStyle w:val="39"/>
        <w:ind w:firstLine="422"/>
        <w:rPr>
          <w:rFonts w:hAnsi="黑体" w:cs="黑体"/>
          <w:b/>
          <w:bCs/>
          <w:color w:val="auto"/>
        </w:rPr>
      </w:pPr>
    </w:p>
    <w:p w14:paraId="7A2F6844">
      <w:pPr>
        <w:rPr>
          <w:rFonts w:hAnsi="黑体" w:cs="黑体"/>
          <w:b/>
          <w:bCs/>
          <w:color w:val="auto"/>
        </w:rPr>
      </w:pPr>
    </w:p>
    <w:p w14:paraId="33677EE3">
      <w:pPr>
        <w:pStyle w:val="39"/>
        <w:ind w:firstLine="422"/>
        <w:rPr>
          <w:rFonts w:hAnsi="黑体" w:cs="黑体"/>
          <w:b/>
          <w:bCs/>
          <w:color w:val="auto"/>
        </w:rPr>
      </w:pPr>
    </w:p>
    <w:p w14:paraId="11269385">
      <w:pPr>
        <w:rPr>
          <w:rFonts w:hAnsi="黑体" w:cs="黑体"/>
          <w:b/>
          <w:bCs/>
          <w:color w:val="auto"/>
        </w:rPr>
      </w:pPr>
    </w:p>
    <w:p w14:paraId="2A4FB3B3">
      <w:pPr>
        <w:pStyle w:val="39"/>
        <w:ind w:firstLine="422"/>
        <w:rPr>
          <w:rFonts w:hAnsi="黑体" w:cs="黑体"/>
          <w:b/>
          <w:bCs/>
          <w:color w:val="auto"/>
        </w:rPr>
      </w:pPr>
    </w:p>
    <w:p w14:paraId="4C522A36">
      <w:pPr>
        <w:rPr>
          <w:rFonts w:hAnsi="黑体" w:cs="黑体"/>
          <w:b/>
          <w:bCs/>
          <w:color w:val="auto"/>
        </w:rPr>
      </w:pPr>
    </w:p>
    <w:p w14:paraId="68742E58">
      <w:pPr>
        <w:pStyle w:val="39"/>
        <w:ind w:firstLine="422"/>
        <w:rPr>
          <w:rFonts w:hAnsi="黑体" w:cs="黑体"/>
          <w:b/>
          <w:bCs/>
          <w:color w:val="auto"/>
        </w:rPr>
      </w:pPr>
    </w:p>
    <w:p w14:paraId="0A31C137">
      <w:pPr>
        <w:rPr>
          <w:rFonts w:hAnsi="黑体" w:cs="黑体"/>
          <w:b/>
          <w:bCs/>
          <w:color w:val="auto"/>
        </w:rPr>
      </w:pPr>
    </w:p>
    <w:p w14:paraId="59154D49">
      <w:pPr>
        <w:pStyle w:val="39"/>
        <w:ind w:firstLine="420"/>
        <w:rPr>
          <w:color w:val="auto"/>
        </w:rPr>
      </w:pPr>
    </w:p>
    <w:p w14:paraId="64894ECC">
      <w:pPr>
        <w:rPr>
          <w:color w:val="auto"/>
        </w:rPr>
      </w:pPr>
    </w:p>
    <w:p w14:paraId="44AFCBF5">
      <w:pPr>
        <w:pStyle w:val="2"/>
        <w:spacing w:beforeLines="50" w:afterLines="50" w:line="440" w:lineRule="exact"/>
        <w:jc w:val="both"/>
        <w:rPr>
          <w:rFonts w:ascii="宋体" w:hAnsi="宋体" w:eastAsia="宋体" w:cs="宋体"/>
          <w:b/>
          <w:bCs/>
          <w:color w:val="auto"/>
        </w:rPr>
      </w:pPr>
    </w:p>
    <w:p w14:paraId="062CDC37">
      <w:pPr>
        <w:rPr>
          <w:rFonts w:ascii="宋体" w:hAnsi="宋体" w:cs="宋体"/>
          <w:b/>
          <w:bCs/>
          <w:color w:val="auto"/>
        </w:rPr>
      </w:pPr>
    </w:p>
    <w:p w14:paraId="115660DA">
      <w:pPr>
        <w:rPr>
          <w:rFonts w:ascii="宋体" w:hAnsi="宋体" w:cs="宋体"/>
          <w:b/>
          <w:bCs/>
          <w:color w:val="auto"/>
        </w:rPr>
      </w:pPr>
    </w:p>
    <w:p w14:paraId="4A879356">
      <w:pPr>
        <w:pStyle w:val="2"/>
        <w:spacing w:beforeLines="50" w:afterLines="50" w:line="440" w:lineRule="exact"/>
        <w:rPr>
          <w:rFonts w:ascii="宋体" w:hAnsi="宋体" w:eastAsia="宋体" w:cs="宋体"/>
          <w:b/>
          <w:bCs/>
          <w:color w:val="auto"/>
        </w:rPr>
      </w:pPr>
      <w:r>
        <w:rPr>
          <w:rFonts w:hint="eastAsia" w:ascii="宋体" w:hAnsi="宋体" w:eastAsia="宋体" w:cs="宋体"/>
          <w:b/>
          <w:bCs/>
          <w:color w:val="auto"/>
        </w:rPr>
        <w:t>第六章  投标文件格式</w:t>
      </w:r>
      <w:bookmarkEnd w:id="99"/>
      <w:bookmarkEnd w:id="100"/>
      <w:bookmarkEnd w:id="101"/>
      <w:bookmarkEnd w:id="102"/>
      <w:bookmarkEnd w:id="103"/>
    </w:p>
    <w:p w14:paraId="0D89E553">
      <w:pPr>
        <w:jc w:val="center"/>
        <w:rPr>
          <w:rFonts w:ascii="宋体" w:hAnsi="宋体" w:cs="宋体"/>
          <w:color w:val="auto"/>
          <w:szCs w:val="21"/>
        </w:rPr>
      </w:pPr>
    </w:p>
    <w:p w14:paraId="3921D559">
      <w:pPr>
        <w:jc w:val="center"/>
        <w:rPr>
          <w:rFonts w:ascii="宋体" w:hAnsi="宋体" w:cs="宋体"/>
          <w:color w:val="auto"/>
          <w:szCs w:val="21"/>
        </w:rPr>
      </w:pPr>
    </w:p>
    <w:p w14:paraId="735ADFE9">
      <w:pPr>
        <w:jc w:val="center"/>
        <w:rPr>
          <w:rFonts w:ascii="宋体" w:hAnsi="宋体" w:cs="宋体"/>
          <w:color w:val="auto"/>
          <w:szCs w:val="21"/>
        </w:rPr>
      </w:pPr>
    </w:p>
    <w:p w14:paraId="74DC7550">
      <w:pPr>
        <w:rPr>
          <w:rFonts w:ascii="宋体" w:hAnsi="宋体" w:cs="宋体"/>
          <w:color w:val="auto"/>
          <w:szCs w:val="21"/>
        </w:rPr>
      </w:pPr>
    </w:p>
    <w:p w14:paraId="459299FA">
      <w:pPr>
        <w:jc w:val="center"/>
        <w:rPr>
          <w:rFonts w:ascii="宋体" w:hAnsi="宋体" w:cs="宋体"/>
          <w:b/>
          <w:color w:val="auto"/>
          <w:sz w:val="28"/>
          <w:szCs w:val="28"/>
        </w:rPr>
      </w:pPr>
      <w:r>
        <w:rPr>
          <w:rFonts w:hint="eastAsia" w:ascii="宋体" w:hAnsi="宋体" w:cs="宋体"/>
          <w:b/>
          <w:color w:val="auto"/>
          <w:sz w:val="28"/>
          <w:szCs w:val="28"/>
        </w:rPr>
        <w:t>资格证明文件</w:t>
      </w:r>
    </w:p>
    <w:p w14:paraId="47A0B1C9">
      <w:pPr>
        <w:jc w:val="center"/>
        <w:rPr>
          <w:rFonts w:ascii="宋体" w:hAnsi="宋体" w:cs="宋体"/>
          <w:color w:val="auto"/>
          <w:sz w:val="28"/>
          <w:szCs w:val="28"/>
        </w:rPr>
      </w:pPr>
      <w:r>
        <w:rPr>
          <w:rFonts w:hint="eastAsia" w:ascii="宋体" w:hAnsi="宋体" w:cs="宋体"/>
          <w:color w:val="auto"/>
          <w:sz w:val="28"/>
          <w:szCs w:val="28"/>
        </w:rPr>
        <w:t>（</w:t>
      </w:r>
      <w:r>
        <w:rPr>
          <w:rStyle w:val="58"/>
          <w:rFonts w:hint="eastAsia" w:ascii="宋体" w:hAnsi="宋体" w:cs="宋体"/>
          <w:color w:val="auto"/>
          <w:sz w:val="28"/>
          <w:szCs w:val="28"/>
        </w:rPr>
        <w:t>投标文件一</w:t>
      </w:r>
      <w:r>
        <w:rPr>
          <w:rFonts w:hint="eastAsia" w:ascii="宋体" w:hAnsi="宋体" w:cs="宋体"/>
          <w:color w:val="auto"/>
          <w:sz w:val="28"/>
          <w:szCs w:val="28"/>
        </w:rPr>
        <w:t>）</w:t>
      </w:r>
    </w:p>
    <w:p w14:paraId="02360B74">
      <w:pPr>
        <w:jc w:val="center"/>
        <w:rPr>
          <w:rFonts w:ascii="宋体" w:hAnsi="宋体" w:cs="宋体"/>
          <w:color w:val="auto"/>
          <w:sz w:val="28"/>
          <w:szCs w:val="28"/>
        </w:rPr>
      </w:pPr>
    </w:p>
    <w:p w14:paraId="5483288C">
      <w:pPr>
        <w:jc w:val="center"/>
        <w:rPr>
          <w:rFonts w:ascii="宋体" w:hAnsi="宋体" w:cs="宋体"/>
          <w:color w:val="auto"/>
          <w:sz w:val="28"/>
          <w:szCs w:val="28"/>
          <w:u w:val="single"/>
        </w:rPr>
      </w:pPr>
    </w:p>
    <w:p w14:paraId="372C69BB">
      <w:pPr>
        <w:jc w:val="center"/>
        <w:rPr>
          <w:rFonts w:ascii="宋体" w:hAnsi="宋体" w:cs="宋体"/>
          <w:color w:val="auto"/>
          <w:sz w:val="28"/>
          <w:szCs w:val="28"/>
        </w:rPr>
      </w:pPr>
      <w:r>
        <w:rPr>
          <w:rFonts w:hint="eastAsia" w:ascii="宋体" w:hAnsi="宋体" w:cs="宋体"/>
          <w:color w:val="auto"/>
          <w:sz w:val="28"/>
          <w:szCs w:val="28"/>
          <w:u w:val="single"/>
        </w:rPr>
        <w:t xml:space="preserve">        </w:t>
      </w:r>
      <w:r>
        <w:rPr>
          <w:rFonts w:hint="eastAsia" w:ascii="宋体" w:hAnsi="宋体" w:cs="宋体"/>
          <w:color w:val="auto"/>
          <w:sz w:val="28"/>
          <w:szCs w:val="28"/>
        </w:rPr>
        <w:t>项目名称</w:t>
      </w:r>
    </w:p>
    <w:p w14:paraId="744C530B">
      <w:pPr>
        <w:jc w:val="center"/>
        <w:rPr>
          <w:rFonts w:ascii="宋体" w:hAnsi="宋体" w:cs="宋体"/>
          <w:color w:val="auto"/>
          <w:sz w:val="28"/>
          <w:szCs w:val="28"/>
        </w:rPr>
      </w:pPr>
    </w:p>
    <w:p w14:paraId="3AFB233F">
      <w:pPr>
        <w:jc w:val="center"/>
        <w:rPr>
          <w:rFonts w:ascii="宋体" w:hAnsi="宋体" w:cs="宋体"/>
          <w:color w:val="auto"/>
          <w:sz w:val="28"/>
          <w:szCs w:val="28"/>
        </w:rPr>
      </w:pPr>
    </w:p>
    <w:p w14:paraId="28F73CCE">
      <w:pPr>
        <w:rPr>
          <w:rFonts w:ascii="宋体" w:hAnsi="宋体" w:cs="宋体"/>
          <w:color w:val="auto"/>
          <w:sz w:val="28"/>
          <w:szCs w:val="28"/>
        </w:rPr>
      </w:pPr>
    </w:p>
    <w:p w14:paraId="338BF085">
      <w:pPr>
        <w:rPr>
          <w:rFonts w:ascii="宋体" w:hAnsi="宋体" w:cs="宋体"/>
          <w:color w:val="auto"/>
          <w:sz w:val="28"/>
          <w:szCs w:val="28"/>
        </w:rPr>
      </w:pPr>
    </w:p>
    <w:p w14:paraId="1CB51FC7">
      <w:pPr>
        <w:rPr>
          <w:rFonts w:ascii="宋体" w:hAnsi="宋体" w:cs="宋体"/>
          <w:color w:val="auto"/>
          <w:sz w:val="28"/>
          <w:szCs w:val="28"/>
        </w:rPr>
      </w:pPr>
    </w:p>
    <w:p w14:paraId="11D6B989">
      <w:pPr>
        <w:rPr>
          <w:rFonts w:ascii="宋体" w:hAnsi="宋体" w:cs="宋体"/>
          <w:color w:val="auto"/>
          <w:sz w:val="28"/>
          <w:szCs w:val="28"/>
        </w:rPr>
      </w:pPr>
    </w:p>
    <w:p w14:paraId="629CE98B">
      <w:pPr>
        <w:rPr>
          <w:rFonts w:ascii="宋体" w:hAnsi="宋体" w:cs="宋体"/>
          <w:color w:val="auto"/>
          <w:sz w:val="28"/>
          <w:szCs w:val="28"/>
        </w:rPr>
      </w:pPr>
    </w:p>
    <w:p w14:paraId="002F48A3">
      <w:pPr>
        <w:jc w:val="center"/>
        <w:rPr>
          <w:rFonts w:ascii="宋体" w:hAnsi="宋体" w:cs="宋体"/>
          <w:color w:val="auto"/>
          <w:sz w:val="28"/>
          <w:szCs w:val="28"/>
          <w:u w:val="single"/>
        </w:rPr>
      </w:pPr>
      <w:r>
        <w:rPr>
          <w:rFonts w:hint="eastAsia" w:ascii="宋体" w:hAnsi="宋体" w:cs="宋体"/>
          <w:color w:val="auto"/>
          <w:sz w:val="28"/>
          <w:szCs w:val="28"/>
        </w:rPr>
        <w:t>投标人：</w:t>
      </w:r>
      <w:r>
        <w:rPr>
          <w:rFonts w:hint="eastAsia" w:ascii="宋体" w:hAnsi="宋体" w:cs="宋体"/>
          <w:color w:val="auto"/>
          <w:sz w:val="28"/>
          <w:szCs w:val="28"/>
          <w:u w:val="single"/>
        </w:rPr>
        <w:t xml:space="preserve">                              </w:t>
      </w:r>
      <w:r>
        <w:rPr>
          <w:rFonts w:hint="eastAsia" w:ascii="宋体" w:hAnsi="宋体" w:cs="宋体"/>
          <w:color w:val="auto"/>
          <w:sz w:val="28"/>
          <w:szCs w:val="28"/>
        </w:rPr>
        <w:t>（盖章）</w:t>
      </w:r>
    </w:p>
    <w:p w14:paraId="6FFFE417">
      <w:pPr>
        <w:jc w:val="center"/>
        <w:rPr>
          <w:rFonts w:ascii="宋体" w:hAnsi="宋体" w:cs="宋体"/>
          <w:color w:val="auto"/>
          <w:sz w:val="28"/>
          <w:szCs w:val="28"/>
        </w:rPr>
      </w:pPr>
    </w:p>
    <w:p w14:paraId="6B7D7492">
      <w:pPr>
        <w:jc w:val="center"/>
        <w:rPr>
          <w:rFonts w:ascii="宋体" w:hAnsi="宋体" w:cs="宋体"/>
          <w:color w:val="auto"/>
          <w:sz w:val="28"/>
          <w:szCs w:val="28"/>
        </w:rPr>
      </w:pPr>
      <w:r>
        <w:rPr>
          <w:rFonts w:hint="eastAsia" w:ascii="宋体" w:hAnsi="宋体" w:cs="宋体"/>
          <w:color w:val="auto"/>
          <w:sz w:val="28"/>
          <w:szCs w:val="28"/>
        </w:rPr>
        <w:t>法定代表人：</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（签字或盖章）</w:t>
      </w:r>
    </w:p>
    <w:p w14:paraId="53C6E907">
      <w:pPr>
        <w:jc w:val="center"/>
        <w:rPr>
          <w:rFonts w:ascii="宋体" w:hAnsi="宋体" w:cs="宋体"/>
          <w:color w:val="auto"/>
          <w:sz w:val="28"/>
          <w:szCs w:val="28"/>
          <w:u w:val="single"/>
        </w:rPr>
      </w:pPr>
    </w:p>
    <w:p w14:paraId="18D417F9">
      <w:pPr>
        <w:jc w:val="center"/>
        <w:rPr>
          <w:rFonts w:ascii="宋体" w:hAnsi="宋体" w:cs="宋体"/>
          <w:color w:val="auto"/>
          <w:sz w:val="28"/>
          <w:szCs w:val="28"/>
        </w:rPr>
      </w:pP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p w14:paraId="428E9C89">
      <w:pPr>
        <w:spacing w:line="720" w:lineRule="auto"/>
        <w:jc w:val="center"/>
        <w:rPr>
          <w:rFonts w:ascii="宋体" w:hAnsi="宋体" w:cs="宋体"/>
          <w:b/>
          <w:color w:val="auto"/>
          <w:sz w:val="24"/>
          <w:szCs w:val="24"/>
        </w:rPr>
      </w:pPr>
    </w:p>
    <w:p w14:paraId="4EBA31E0">
      <w:pPr>
        <w:spacing w:line="680" w:lineRule="exact"/>
        <w:ind w:firstLine="4216" w:firstLineChars="1400"/>
        <w:rPr>
          <w:rFonts w:ascii="宋体" w:hAnsi="宋体" w:cs="宋体"/>
          <w:b/>
          <w:color w:val="auto"/>
          <w:sz w:val="30"/>
          <w:szCs w:val="30"/>
        </w:rPr>
      </w:pPr>
      <w:r>
        <w:rPr>
          <w:rFonts w:hint="eastAsia" w:ascii="宋体" w:hAnsi="宋体" w:cs="宋体"/>
          <w:b/>
          <w:color w:val="auto"/>
          <w:sz w:val="30"/>
          <w:szCs w:val="30"/>
        </w:rPr>
        <w:t>目   录</w:t>
      </w:r>
    </w:p>
    <w:p w14:paraId="493B5590">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 </w:t>
      </w:r>
    </w:p>
    <w:p w14:paraId="1067079B">
      <w:pPr>
        <w:spacing w:line="440" w:lineRule="exact"/>
        <w:ind w:firstLine="420" w:firstLineChars="200"/>
        <w:rPr>
          <w:rFonts w:ascii="宋体"/>
          <w:color w:val="auto"/>
          <w:szCs w:val="21"/>
        </w:rPr>
      </w:pPr>
      <w:r>
        <w:rPr>
          <w:rFonts w:hint="eastAsia" w:ascii="宋体"/>
          <w:color w:val="auto"/>
          <w:szCs w:val="21"/>
        </w:rPr>
        <w:t>（1）法定代表人身份证明及其有效身份证（或法定代表人授权委托书及其有效身份证）（格式见附件）；</w:t>
      </w:r>
    </w:p>
    <w:p w14:paraId="5AFDD182">
      <w:pPr>
        <w:spacing w:line="440" w:lineRule="exact"/>
        <w:ind w:firstLine="420" w:firstLineChars="200"/>
        <w:rPr>
          <w:rFonts w:ascii="宋体"/>
          <w:color w:val="auto"/>
          <w:szCs w:val="21"/>
        </w:rPr>
      </w:pPr>
      <w:r>
        <w:rPr>
          <w:rFonts w:hint="eastAsia" w:ascii="宋体"/>
          <w:color w:val="auto"/>
          <w:szCs w:val="21"/>
        </w:rPr>
        <w:t>（2）投标人具有独立承担民事责任的能力；</w:t>
      </w:r>
    </w:p>
    <w:p w14:paraId="054221D3">
      <w:pPr>
        <w:spacing w:line="440" w:lineRule="exact"/>
        <w:ind w:firstLine="420" w:firstLineChars="200"/>
        <w:rPr>
          <w:rFonts w:ascii="宋体" w:hAnsi="宋体" w:cs="宋体"/>
          <w:bCs/>
          <w:color w:val="auto"/>
          <w:szCs w:val="21"/>
        </w:rPr>
      </w:pPr>
      <w:r>
        <w:rPr>
          <w:rFonts w:hint="eastAsia" w:ascii="宋体" w:hAnsi="宋体" w:cs="宋体"/>
          <w:bCs/>
          <w:color w:val="auto"/>
          <w:szCs w:val="21"/>
        </w:rPr>
        <w:t>（3）诚信投标承诺书（格式见附件）；</w:t>
      </w:r>
    </w:p>
    <w:p w14:paraId="6BDC3EAF">
      <w:pPr>
        <w:spacing w:line="440" w:lineRule="exact"/>
        <w:ind w:firstLine="420" w:firstLineChars="200"/>
        <w:rPr>
          <w:rFonts w:ascii="宋体"/>
          <w:color w:val="auto"/>
          <w:szCs w:val="21"/>
        </w:rPr>
      </w:pPr>
      <w:r>
        <w:rPr>
          <w:rFonts w:hint="eastAsia" w:ascii="宋体"/>
          <w:color w:val="auto"/>
          <w:szCs w:val="21"/>
        </w:rPr>
        <w:t>（4）评标办法资信评分中所需相关证明材料；</w:t>
      </w:r>
    </w:p>
    <w:p w14:paraId="1FED6816">
      <w:pPr>
        <w:pStyle w:val="3"/>
        <w:numPr>
          <w:ilvl w:val="1"/>
          <w:numId w:val="0"/>
        </w:numPr>
        <w:ind w:firstLine="420" w:firstLineChars="200"/>
        <w:rPr>
          <w:b w:val="0"/>
          <w:color w:val="auto"/>
        </w:rPr>
      </w:pPr>
      <w:r>
        <w:rPr>
          <w:rFonts w:hint="eastAsia"/>
          <w:b w:val="0"/>
          <w:color w:val="auto"/>
        </w:rPr>
        <w:t>（5）投标人认为需要提供的其他资信证明材料。</w:t>
      </w:r>
    </w:p>
    <w:p w14:paraId="0088E541">
      <w:pPr>
        <w:spacing w:line="400" w:lineRule="exact"/>
        <w:rPr>
          <w:rFonts w:ascii="宋体" w:hAnsi="宋体" w:cs="宋体"/>
          <w:color w:val="auto"/>
          <w:kern w:val="2"/>
          <w:sz w:val="24"/>
          <w:szCs w:val="24"/>
        </w:rPr>
      </w:pPr>
    </w:p>
    <w:p w14:paraId="6B37D9FA">
      <w:pPr>
        <w:spacing w:line="400" w:lineRule="exact"/>
        <w:ind w:firstLine="420" w:firstLineChars="200"/>
        <w:rPr>
          <w:rFonts w:ascii="宋体" w:hAnsi="宋体" w:cs="宋体"/>
          <w:color w:val="auto"/>
          <w:szCs w:val="21"/>
        </w:rPr>
      </w:pPr>
    </w:p>
    <w:p w14:paraId="134FBCD8">
      <w:pPr>
        <w:spacing w:line="400" w:lineRule="exact"/>
        <w:ind w:firstLine="420" w:firstLineChars="200"/>
        <w:rPr>
          <w:rFonts w:ascii="宋体" w:hAnsi="宋体" w:cs="宋体"/>
          <w:color w:val="auto"/>
          <w:szCs w:val="21"/>
        </w:rPr>
      </w:pPr>
    </w:p>
    <w:p w14:paraId="0763DA2C">
      <w:pPr>
        <w:spacing w:line="400" w:lineRule="exact"/>
        <w:ind w:firstLine="420" w:firstLineChars="200"/>
        <w:rPr>
          <w:rFonts w:ascii="宋体" w:hAnsi="宋体" w:cs="宋体"/>
          <w:color w:val="auto"/>
          <w:szCs w:val="21"/>
        </w:rPr>
      </w:pPr>
    </w:p>
    <w:p w14:paraId="48F84525">
      <w:pPr>
        <w:spacing w:line="400" w:lineRule="exact"/>
        <w:ind w:firstLine="420" w:firstLineChars="200"/>
        <w:rPr>
          <w:rFonts w:ascii="宋体" w:hAnsi="宋体" w:cs="宋体"/>
          <w:color w:val="auto"/>
          <w:szCs w:val="21"/>
        </w:rPr>
      </w:pPr>
    </w:p>
    <w:p w14:paraId="54508E6D">
      <w:pPr>
        <w:spacing w:line="400" w:lineRule="exact"/>
        <w:ind w:firstLine="420" w:firstLineChars="200"/>
        <w:rPr>
          <w:rFonts w:ascii="宋体" w:hAnsi="宋体" w:cs="宋体"/>
          <w:color w:val="auto"/>
          <w:szCs w:val="21"/>
        </w:rPr>
      </w:pPr>
    </w:p>
    <w:p w14:paraId="3E7923F2">
      <w:pPr>
        <w:spacing w:line="400" w:lineRule="exact"/>
        <w:ind w:firstLine="420" w:firstLineChars="200"/>
        <w:rPr>
          <w:rFonts w:ascii="宋体" w:hAnsi="宋体" w:cs="宋体"/>
          <w:color w:val="auto"/>
          <w:szCs w:val="21"/>
        </w:rPr>
      </w:pPr>
    </w:p>
    <w:p w14:paraId="50EF3F73">
      <w:pPr>
        <w:spacing w:line="400" w:lineRule="exact"/>
        <w:ind w:firstLine="420" w:firstLineChars="200"/>
        <w:rPr>
          <w:rFonts w:ascii="宋体" w:hAnsi="宋体" w:cs="宋体"/>
          <w:color w:val="auto"/>
          <w:szCs w:val="21"/>
        </w:rPr>
      </w:pPr>
    </w:p>
    <w:p w14:paraId="33C35006">
      <w:pPr>
        <w:spacing w:line="400" w:lineRule="exact"/>
        <w:ind w:firstLine="420" w:firstLineChars="200"/>
        <w:rPr>
          <w:rFonts w:ascii="宋体" w:hAnsi="宋体" w:cs="宋体"/>
          <w:color w:val="auto"/>
          <w:szCs w:val="21"/>
        </w:rPr>
      </w:pPr>
    </w:p>
    <w:p w14:paraId="4F14C8F1">
      <w:pPr>
        <w:spacing w:line="400" w:lineRule="exact"/>
        <w:ind w:firstLine="420" w:firstLineChars="200"/>
        <w:rPr>
          <w:rFonts w:ascii="宋体" w:hAnsi="宋体" w:cs="宋体"/>
          <w:color w:val="auto"/>
          <w:szCs w:val="21"/>
        </w:rPr>
      </w:pPr>
    </w:p>
    <w:p w14:paraId="128594FF">
      <w:pPr>
        <w:spacing w:line="400" w:lineRule="exact"/>
        <w:ind w:firstLine="420" w:firstLineChars="200"/>
        <w:rPr>
          <w:rFonts w:ascii="宋体" w:hAnsi="宋体" w:cs="宋体"/>
          <w:color w:val="auto"/>
          <w:szCs w:val="21"/>
        </w:rPr>
      </w:pPr>
    </w:p>
    <w:p w14:paraId="7590ED5F">
      <w:pPr>
        <w:spacing w:line="400" w:lineRule="exact"/>
        <w:ind w:firstLine="420" w:firstLineChars="200"/>
        <w:rPr>
          <w:rFonts w:ascii="宋体" w:hAnsi="宋体" w:cs="宋体"/>
          <w:color w:val="auto"/>
          <w:szCs w:val="21"/>
        </w:rPr>
      </w:pPr>
    </w:p>
    <w:p w14:paraId="62F1C74A">
      <w:pPr>
        <w:spacing w:line="400" w:lineRule="exact"/>
        <w:ind w:firstLine="420" w:firstLineChars="200"/>
        <w:rPr>
          <w:rFonts w:ascii="宋体" w:hAnsi="宋体" w:cs="宋体"/>
          <w:color w:val="auto"/>
          <w:szCs w:val="21"/>
        </w:rPr>
      </w:pPr>
    </w:p>
    <w:p w14:paraId="722C342F">
      <w:pPr>
        <w:spacing w:line="360" w:lineRule="auto"/>
        <w:rPr>
          <w:rFonts w:ascii="宋体" w:hAnsi="宋体" w:cs="宋体"/>
          <w:b/>
          <w:color w:val="auto"/>
          <w:szCs w:val="21"/>
        </w:rPr>
      </w:pPr>
    </w:p>
    <w:p w14:paraId="59EFFB6F">
      <w:pPr>
        <w:spacing w:line="360" w:lineRule="auto"/>
        <w:rPr>
          <w:b/>
          <w:color w:val="auto"/>
          <w:sz w:val="28"/>
          <w:szCs w:val="28"/>
        </w:rPr>
      </w:pPr>
      <w:r>
        <w:rPr>
          <w:rFonts w:hint="eastAsia" w:ascii="宋体" w:hAnsi="宋体" w:cs="宋体"/>
          <w:b/>
          <w:color w:val="auto"/>
          <w:szCs w:val="21"/>
        </w:rPr>
        <w:br w:type="page"/>
      </w:r>
      <w:bookmarkStart w:id="119" w:name="OLE_LINK37"/>
      <w:r>
        <w:rPr>
          <w:rFonts w:hint="eastAsia" w:ascii="黑体" w:hAnsi="黑体" w:eastAsia="黑体" w:cs="黑体"/>
          <w:b/>
          <w:color w:val="auto"/>
          <w:sz w:val="28"/>
          <w:szCs w:val="28"/>
        </w:rPr>
        <w:t xml:space="preserve"> 附件1</w:t>
      </w:r>
    </w:p>
    <w:p w14:paraId="7EE570E6">
      <w:pPr>
        <w:spacing w:line="360" w:lineRule="auto"/>
        <w:jc w:val="center"/>
        <w:rPr>
          <w:rFonts w:ascii="宋体"/>
          <w:b/>
          <w:color w:val="auto"/>
          <w:sz w:val="28"/>
          <w:szCs w:val="28"/>
        </w:rPr>
      </w:pPr>
      <w:r>
        <w:rPr>
          <w:rFonts w:hint="eastAsia"/>
          <w:b/>
          <w:color w:val="auto"/>
          <w:sz w:val="28"/>
          <w:szCs w:val="28"/>
        </w:rPr>
        <w:t>法定代表人身份证明或授权委托书</w:t>
      </w:r>
    </w:p>
    <w:p w14:paraId="7C179AE1">
      <w:pPr>
        <w:pStyle w:val="330"/>
        <w:spacing w:beforeLines="100" w:afterLines="100" w:line="480" w:lineRule="exact"/>
        <w:ind w:firstLine="180" w:firstLineChars="75"/>
        <w:rPr>
          <w:rFonts w:ascii="宋体"/>
          <w:b/>
          <w:color w:val="auto"/>
          <w:sz w:val="24"/>
          <w:szCs w:val="24"/>
        </w:rPr>
      </w:pPr>
      <w:r>
        <w:rPr>
          <w:rFonts w:hint="eastAsia" w:ascii="宋体"/>
          <w:color w:val="auto"/>
          <w:sz w:val="24"/>
          <w:szCs w:val="24"/>
        </w:rPr>
        <w:t>1.法定代表人身份证明</w:t>
      </w:r>
    </w:p>
    <w:p w14:paraId="4283296F">
      <w:pPr>
        <w:spacing w:line="480" w:lineRule="exact"/>
        <w:rPr>
          <w:rFonts w:ascii="宋体"/>
          <w:color w:val="auto"/>
          <w:sz w:val="24"/>
        </w:rPr>
      </w:pPr>
      <w:r>
        <w:rPr>
          <w:rFonts w:hint="eastAsia" w:ascii="宋体"/>
          <w:color w:val="auto"/>
          <w:sz w:val="24"/>
        </w:rPr>
        <w:t>投标人名称：</w:t>
      </w:r>
      <w:r>
        <w:rPr>
          <w:rFonts w:hint="eastAsia" w:ascii="宋体"/>
          <w:color w:val="auto"/>
          <w:sz w:val="24"/>
          <w:u w:val="single"/>
        </w:rPr>
        <w:t xml:space="preserve">                                </w:t>
      </w:r>
      <w:r>
        <w:rPr>
          <w:rFonts w:hint="eastAsia" w:ascii="宋体"/>
          <w:color w:val="auto"/>
          <w:sz w:val="24"/>
        </w:rPr>
        <w:t xml:space="preserve"> </w:t>
      </w:r>
    </w:p>
    <w:p w14:paraId="0826985A">
      <w:pPr>
        <w:spacing w:line="480" w:lineRule="exact"/>
        <w:rPr>
          <w:rFonts w:ascii="宋体"/>
          <w:color w:val="auto"/>
          <w:sz w:val="24"/>
        </w:rPr>
      </w:pPr>
      <w:r>
        <w:rPr>
          <w:rFonts w:hint="eastAsia" w:ascii="宋体"/>
          <w:color w:val="auto"/>
          <w:sz w:val="24"/>
        </w:rPr>
        <w:t xml:space="preserve">单位性质： </w:t>
      </w:r>
      <w:r>
        <w:rPr>
          <w:rFonts w:hint="eastAsia" w:ascii="宋体"/>
          <w:color w:val="auto"/>
          <w:sz w:val="24"/>
          <w:u w:val="single"/>
        </w:rPr>
        <w:t xml:space="preserve">                                  </w:t>
      </w:r>
      <w:r>
        <w:rPr>
          <w:rFonts w:hint="eastAsia" w:ascii="宋体"/>
          <w:color w:val="auto"/>
          <w:sz w:val="24"/>
        </w:rPr>
        <w:t xml:space="preserve"> </w:t>
      </w:r>
    </w:p>
    <w:p w14:paraId="55F830B5">
      <w:pPr>
        <w:spacing w:line="480" w:lineRule="exact"/>
        <w:rPr>
          <w:rFonts w:ascii="宋体"/>
          <w:color w:val="auto"/>
          <w:sz w:val="24"/>
        </w:rPr>
      </w:pPr>
      <w:r>
        <w:rPr>
          <w:rFonts w:hint="eastAsia" w:ascii="宋体"/>
          <w:color w:val="auto"/>
          <w:sz w:val="24"/>
        </w:rPr>
        <w:t>地    址：</w:t>
      </w:r>
      <w:r>
        <w:rPr>
          <w:rFonts w:hint="eastAsia" w:ascii="宋体"/>
          <w:color w:val="auto"/>
          <w:sz w:val="24"/>
          <w:u w:val="single"/>
        </w:rPr>
        <w:t xml:space="preserve">                                   </w:t>
      </w:r>
      <w:r>
        <w:rPr>
          <w:rFonts w:hint="eastAsia" w:ascii="宋体"/>
          <w:color w:val="auto"/>
          <w:sz w:val="24"/>
        </w:rPr>
        <w:t xml:space="preserve"> </w:t>
      </w:r>
    </w:p>
    <w:p w14:paraId="3C0229F5">
      <w:pPr>
        <w:spacing w:line="480" w:lineRule="exact"/>
        <w:rPr>
          <w:rFonts w:ascii="宋体"/>
          <w:color w:val="auto"/>
          <w:sz w:val="24"/>
        </w:rPr>
      </w:pPr>
      <w:r>
        <w:rPr>
          <w:rFonts w:hint="eastAsia" w:ascii="宋体"/>
          <w:color w:val="auto"/>
          <w:sz w:val="24"/>
        </w:rPr>
        <w:t>成立时间：</w:t>
      </w:r>
      <w:r>
        <w:rPr>
          <w:rFonts w:hint="eastAsia" w:ascii="宋体"/>
          <w:color w:val="auto"/>
          <w:sz w:val="24"/>
          <w:u w:val="single"/>
        </w:rPr>
        <w:t xml:space="preserve">        </w:t>
      </w:r>
      <w:r>
        <w:rPr>
          <w:rFonts w:hint="eastAsia" w:ascii="宋体"/>
          <w:color w:val="auto"/>
          <w:sz w:val="24"/>
        </w:rPr>
        <w:t>年</w:t>
      </w:r>
      <w:r>
        <w:rPr>
          <w:rFonts w:hint="eastAsia" w:ascii="宋体"/>
          <w:color w:val="auto"/>
          <w:sz w:val="24"/>
          <w:u w:val="single"/>
        </w:rPr>
        <w:t xml:space="preserve">    </w:t>
      </w:r>
      <w:r>
        <w:rPr>
          <w:rFonts w:hint="eastAsia" w:ascii="宋体"/>
          <w:color w:val="auto"/>
          <w:sz w:val="24"/>
        </w:rPr>
        <w:t>月</w:t>
      </w:r>
      <w:r>
        <w:rPr>
          <w:rFonts w:hint="eastAsia" w:ascii="宋体"/>
          <w:color w:val="auto"/>
          <w:sz w:val="24"/>
          <w:u w:val="single"/>
        </w:rPr>
        <w:t xml:space="preserve">  </w:t>
      </w:r>
      <w:r>
        <w:rPr>
          <w:rFonts w:hint="eastAsia" w:ascii="宋体"/>
          <w:color w:val="auto"/>
          <w:sz w:val="24"/>
        </w:rPr>
        <w:t>＿日</w:t>
      </w:r>
    </w:p>
    <w:p w14:paraId="5407C39A">
      <w:pPr>
        <w:spacing w:line="480" w:lineRule="exact"/>
        <w:rPr>
          <w:rFonts w:ascii="宋体"/>
          <w:color w:val="auto"/>
          <w:sz w:val="24"/>
        </w:rPr>
      </w:pPr>
      <w:r>
        <w:rPr>
          <w:rFonts w:hint="eastAsia" w:ascii="宋体"/>
          <w:color w:val="auto"/>
          <w:sz w:val="24"/>
        </w:rPr>
        <w:t>经营期限：</w:t>
      </w:r>
      <w:r>
        <w:rPr>
          <w:rFonts w:hint="eastAsia" w:ascii="宋体"/>
          <w:color w:val="auto"/>
          <w:sz w:val="24"/>
          <w:u w:val="single"/>
        </w:rPr>
        <w:t xml:space="preserve">                                </w:t>
      </w:r>
      <w:r>
        <w:rPr>
          <w:rFonts w:hint="eastAsia" w:ascii="宋体"/>
          <w:color w:val="auto"/>
          <w:sz w:val="24"/>
        </w:rPr>
        <w:t xml:space="preserve"> </w:t>
      </w:r>
    </w:p>
    <w:p w14:paraId="52463320">
      <w:pPr>
        <w:spacing w:line="480" w:lineRule="exact"/>
        <w:rPr>
          <w:rFonts w:ascii="宋体"/>
          <w:color w:val="auto"/>
          <w:sz w:val="24"/>
        </w:rPr>
      </w:pPr>
      <w:r>
        <w:rPr>
          <w:rFonts w:hint="eastAsia" w:ascii="宋体"/>
          <w:color w:val="auto"/>
          <w:spacing w:val="240"/>
          <w:sz w:val="24"/>
        </w:rPr>
        <w:t>姓</w:t>
      </w:r>
      <w:r>
        <w:rPr>
          <w:rFonts w:hint="eastAsia" w:ascii="宋体"/>
          <w:color w:val="auto"/>
          <w:sz w:val="24"/>
        </w:rPr>
        <w:t>名：</w:t>
      </w:r>
      <w:r>
        <w:rPr>
          <w:rFonts w:hint="eastAsia" w:ascii="宋体"/>
          <w:color w:val="auto"/>
          <w:sz w:val="24"/>
          <w:u w:val="single"/>
        </w:rPr>
        <w:t xml:space="preserve">           </w:t>
      </w:r>
      <w:r>
        <w:rPr>
          <w:rFonts w:hint="eastAsia" w:ascii="宋体"/>
          <w:color w:val="auto"/>
          <w:sz w:val="24"/>
        </w:rPr>
        <w:t>性别：</w:t>
      </w:r>
      <w:r>
        <w:rPr>
          <w:rFonts w:hint="eastAsia" w:ascii="宋体"/>
          <w:color w:val="auto"/>
          <w:sz w:val="24"/>
          <w:u w:val="single"/>
        </w:rPr>
        <w:t xml:space="preserve">        </w:t>
      </w:r>
      <w:r>
        <w:rPr>
          <w:rFonts w:hint="eastAsia" w:ascii="宋体"/>
          <w:color w:val="auto"/>
          <w:sz w:val="24"/>
        </w:rPr>
        <w:t>年龄：</w:t>
      </w:r>
      <w:r>
        <w:rPr>
          <w:rFonts w:hint="eastAsia" w:ascii="宋体"/>
          <w:color w:val="auto"/>
          <w:sz w:val="24"/>
          <w:u w:val="single"/>
        </w:rPr>
        <w:t xml:space="preserve">    </w:t>
      </w:r>
      <w:r>
        <w:rPr>
          <w:rFonts w:hint="eastAsia" w:ascii="宋体"/>
          <w:color w:val="auto"/>
          <w:sz w:val="24"/>
        </w:rPr>
        <w:t>职务：</w:t>
      </w:r>
      <w:r>
        <w:rPr>
          <w:rFonts w:hint="eastAsia" w:ascii="宋体"/>
          <w:color w:val="auto"/>
          <w:sz w:val="24"/>
          <w:u w:val="single"/>
        </w:rPr>
        <w:t xml:space="preserve">       </w:t>
      </w:r>
    </w:p>
    <w:p w14:paraId="25F4E99B">
      <w:pPr>
        <w:spacing w:line="480" w:lineRule="exact"/>
        <w:rPr>
          <w:rFonts w:ascii="宋体"/>
          <w:color w:val="auto"/>
          <w:sz w:val="24"/>
        </w:rPr>
      </w:pPr>
      <w:r>
        <w:rPr>
          <w:rFonts w:hint="eastAsia" w:ascii="宋体"/>
          <w:color w:val="auto"/>
          <w:sz w:val="24"/>
        </w:rPr>
        <w:t>系</w:t>
      </w:r>
      <w:r>
        <w:rPr>
          <w:rFonts w:hint="eastAsia" w:ascii="宋体"/>
          <w:color w:val="auto"/>
          <w:sz w:val="24"/>
          <w:u w:val="single"/>
        </w:rPr>
        <w:t xml:space="preserve">                                </w:t>
      </w:r>
      <w:r>
        <w:rPr>
          <w:rFonts w:hint="eastAsia" w:ascii="宋体"/>
          <w:color w:val="auto"/>
          <w:sz w:val="24"/>
        </w:rPr>
        <w:t>（投标人名称）的法定代表人。</w:t>
      </w:r>
    </w:p>
    <w:p w14:paraId="6DC9FE1D">
      <w:pPr>
        <w:spacing w:line="480" w:lineRule="exact"/>
        <w:ind w:firstLine="480" w:firstLineChars="200"/>
        <w:rPr>
          <w:rFonts w:ascii="宋体"/>
          <w:color w:val="auto"/>
          <w:sz w:val="24"/>
        </w:rPr>
      </w:pPr>
      <w:r>
        <w:rPr>
          <w:rFonts w:hint="eastAsia" w:ascii="宋体"/>
          <w:color w:val="auto"/>
          <w:sz w:val="24"/>
        </w:rPr>
        <w:t>特此证明。</w:t>
      </w:r>
    </w:p>
    <w:p w14:paraId="3EFAFBA4">
      <w:pPr>
        <w:spacing w:line="480" w:lineRule="exact"/>
        <w:ind w:firstLine="482" w:firstLineChars="200"/>
        <w:rPr>
          <w:rFonts w:ascii="宋体"/>
          <w:b/>
          <w:bCs/>
          <w:color w:val="auto"/>
          <w:sz w:val="24"/>
        </w:rPr>
      </w:pPr>
      <w:r>
        <w:rPr>
          <w:rFonts w:hint="eastAsia" w:ascii="宋体"/>
          <w:b/>
          <w:bCs/>
          <w:color w:val="auto"/>
          <w:sz w:val="24"/>
        </w:rPr>
        <w:t>附：法定代表人有效身份证</w:t>
      </w:r>
    </w:p>
    <w:p w14:paraId="5AE8F757">
      <w:pPr>
        <w:spacing w:line="480" w:lineRule="exact"/>
        <w:ind w:firstLine="960" w:firstLineChars="400"/>
        <w:rPr>
          <w:rFonts w:ascii="宋体"/>
          <w:color w:val="auto"/>
          <w:sz w:val="24"/>
        </w:rPr>
      </w:pPr>
    </w:p>
    <w:p w14:paraId="5AE19424">
      <w:pPr>
        <w:spacing w:line="360" w:lineRule="auto"/>
        <w:ind w:firstLine="3480" w:firstLineChars="1450"/>
        <w:rPr>
          <w:rFonts w:ascii="宋体"/>
          <w:color w:val="auto"/>
          <w:sz w:val="24"/>
        </w:rPr>
      </w:pPr>
      <w:r>
        <w:rPr>
          <w:rFonts w:hint="eastAsia" w:ascii="宋体"/>
          <w:color w:val="auto"/>
          <w:sz w:val="24"/>
        </w:rPr>
        <w:t>投标人：</w:t>
      </w:r>
      <w:r>
        <w:rPr>
          <w:rFonts w:hint="eastAsia" w:ascii="宋体"/>
          <w:color w:val="auto"/>
          <w:sz w:val="24"/>
          <w:u w:val="single"/>
        </w:rPr>
        <w:t xml:space="preserve">                 </w:t>
      </w:r>
      <w:r>
        <w:rPr>
          <w:rFonts w:hint="eastAsia" w:ascii="宋体"/>
          <w:color w:val="auto"/>
          <w:sz w:val="24"/>
        </w:rPr>
        <w:t>（盖章）</w:t>
      </w:r>
    </w:p>
    <w:p w14:paraId="247C6B06">
      <w:pPr>
        <w:wordWrap w:val="0"/>
        <w:spacing w:line="360" w:lineRule="auto"/>
        <w:jc w:val="right"/>
        <w:rPr>
          <w:color w:val="auto"/>
        </w:rPr>
      </w:pPr>
      <w:r>
        <w:rPr>
          <w:rFonts w:hint="eastAsia" w:ascii="宋体"/>
          <w:color w:val="auto"/>
          <w:sz w:val="24"/>
        </w:rPr>
        <w:t xml:space="preserve">                                        </w:t>
      </w:r>
      <w:r>
        <w:rPr>
          <w:rFonts w:hint="eastAsia" w:ascii="宋体"/>
          <w:color w:val="auto"/>
          <w:sz w:val="24"/>
          <w:u w:val="single"/>
        </w:rPr>
        <w:t xml:space="preserve">       </w:t>
      </w:r>
      <w:r>
        <w:rPr>
          <w:rFonts w:hint="eastAsia" w:ascii="宋体"/>
          <w:color w:val="auto"/>
          <w:sz w:val="24"/>
        </w:rPr>
        <w:t xml:space="preserve">年 </w:t>
      </w:r>
      <w:r>
        <w:rPr>
          <w:rFonts w:hint="eastAsia" w:ascii="宋体"/>
          <w:color w:val="auto"/>
          <w:sz w:val="24"/>
          <w:u w:val="single"/>
        </w:rPr>
        <w:t xml:space="preserve">    </w:t>
      </w:r>
      <w:r>
        <w:rPr>
          <w:rFonts w:hint="eastAsia" w:ascii="宋体"/>
          <w:color w:val="auto"/>
          <w:sz w:val="24"/>
        </w:rPr>
        <w:t>月</w:t>
      </w:r>
      <w:r>
        <w:rPr>
          <w:rFonts w:hint="eastAsia" w:ascii="宋体"/>
          <w:color w:val="auto"/>
          <w:sz w:val="24"/>
          <w:u w:val="single"/>
        </w:rPr>
        <w:t xml:space="preserve">     </w:t>
      </w:r>
      <w:r>
        <w:rPr>
          <w:rFonts w:hint="eastAsia" w:ascii="宋体"/>
          <w:color w:val="auto"/>
          <w:sz w:val="24"/>
        </w:rPr>
        <w:t xml:space="preserve">日  </w:t>
      </w:r>
    </w:p>
    <w:p w14:paraId="0F47EFF5">
      <w:pPr>
        <w:spacing w:beforeLines="100" w:afterLines="100" w:line="480" w:lineRule="exact"/>
        <w:ind w:firstLine="3654" w:firstLineChars="1305"/>
        <w:rPr>
          <w:rFonts w:ascii="宋体"/>
          <w:color w:val="auto"/>
          <w:sz w:val="28"/>
          <w:szCs w:val="28"/>
        </w:rPr>
      </w:pPr>
      <w:r>
        <w:rPr>
          <w:rFonts w:hint="eastAsia" w:ascii="宋体"/>
          <w:color w:val="auto"/>
          <w:sz w:val="28"/>
          <w:szCs w:val="28"/>
        </w:rPr>
        <w:t>2.授权委托书</w:t>
      </w:r>
    </w:p>
    <w:p w14:paraId="46EC0972">
      <w:pPr>
        <w:spacing w:line="480" w:lineRule="exact"/>
        <w:ind w:firstLine="480" w:firstLineChars="200"/>
        <w:rPr>
          <w:rFonts w:ascii="宋体"/>
          <w:color w:val="auto"/>
          <w:sz w:val="24"/>
        </w:rPr>
      </w:pPr>
      <w:r>
        <w:rPr>
          <w:rFonts w:hint="eastAsia" w:ascii="宋体"/>
          <w:color w:val="auto"/>
          <w:sz w:val="24"/>
        </w:rPr>
        <w:t xml:space="preserve">本人 </w:t>
      </w:r>
      <w:r>
        <w:rPr>
          <w:rFonts w:hint="eastAsia" w:ascii="宋体"/>
          <w:color w:val="auto"/>
          <w:sz w:val="24"/>
          <w:u w:val="single"/>
        </w:rPr>
        <w:t xml:space="preserve">      </w:t>
      </w:r>
      <w:r>
        <w:rPr>
          <w:rFonts w:hint="eastAsia" w:ascii="宋体"/>
          <w:color w:val="auto"/>
          <w:sz w:val="24"/>
        </w:rPr>
        <w:t>（姓名）系</w:t>
      </w:r>
      <w:r>
        <w:rPr>
          <w:rFonts w:hint="eastAsia" w:ascii="宋体"/>
          <w:color w:val="auto"/>
          <w:sz w:val="24"/>
          <w:u w:val="single"/>
        </w:rPr>
        <w:t xml:space="preserve">       </w:t>
      </w:r>
      <w:r>
        <w:rPr>
          <w:rFonts w:hint="eastAsia" w:ascii="宋体"/>
          <w:color w:val="auto"/>
          <w:sz w:val="24"/>
        </w:rPr>
        <w:t>（投标人）的法定代表人，现委托</w:t>
      </w:r>
      <w:r>
        <w:rPr>
          <w:rFonts w:hint="eastAsia" w:ascii="宋体"/>
          <w:color w:val="auto"/>
          <w:sz w:val="24"/>
          <w:u w:val="single"/>
        </w:rPr>
        <w:t xml:space="preserve">   </w:t>
      </w:r>
      <w:r>
        <w:rPr>
          <w:rFonts w:hint="eastAsia" w:ascii="宋体"/>
          <w:color w:val="auto"/>
          <w:sz w:val="24"/>
        </w:rPr>
        <w:t>（姓名）为我方代理人。代理人根据授权，以我方名义签署、澄清、说明、补正、递交、撤回、修改 “</w:t>
      </w:r>
      <w:r>
        <w:rPr>
          <w:rFonts w:hint="eastAsia" w:ascii="宋体"/>
          <w:color w:val="auto"/>
          <w:sz w:val="24"/>
          <w:u w:val="single"/>
        </w:rPr>
        <w:t xml:space="preserve">        </w:t>
      </w:r>
      <w:r>
        <w:rPr>
          <w:rFonts w:hint="eastAsia" w:ascii="宋体"/>
          <w:color w:val="auto"/>
          <w:sz w:val="24"/>
        </w:rPr>
        <w:t>”(项目名称、编号）投标文件，全权处理与该项目投标、评审答疑、签订合同以及与合同执行有关的一切事务，其法律后果由我方承担。</w:t>
      </w:r>
    </w:p>
    <w:p w14:paraId="56895501">
      <w:pPr>
        <w:spacing w:line="480" w:lineRule="exact"/>
        <w:ind w:firstLine="480" w:firstLineChars="200"/>
        <w:rPr>
          <w:rFonts w:ascii="宋体"/>
          <w:color w:val="auto"/>
          <w:sz w:val="24"/>
        </w:rPr>
      </w:pPr>
      <w:r>
        <w:rPr>
          <w:rFonts w:hint="eastAsia" w:ascii="宋体"/>
          <w:color w:val="auto"/>
          <w:sz w:val="24"/>
        </w:rPr>
        <w:t>委托期限：</w:t>
      </w:r>
      <w:r>
        <w:rPr>
          <w:rFonts w:hint="eastAsia" w:ascii="宋体"/>
          <w:color w:val="auto"/>
          <w:sz w:val="24"/>
          <w:u w:val="single"/>
        </w:rPr>
        <w:t xml:space="preserve">                  。 </w:t>
      </w:r>
      <w:r>
        <w:rPr>
          <w:rFonts w:hint="eastAsia" w:ascii="宋体"/>
          <w:color w:val="auto"/>
          <w:sz w:val="24"/>
        </w:rPr>
        <w:t xml:space="preserve">             </w:t>
      </w:r>
    </w:p>
    <w:p w14:paraId="7522011E">
      <w:pPr>
        <w:spacing w:line="480" w:lineRule="exact"/>
        <w:ind w:firstLine="480" w:firstLineChars="200"/>
        <w:rPr>
          <w:rFonts w:ascii="宋体"/>
          <w:color w:val="auto"/>
          <w:sz w:val="24"/>
        </w:rPr>
      </w:pPr>
      <w:r>
        <w:rPr>
          <w:rFonts w:hint="eastAsia" w:ascii="宋体"/>
          <w:color w:val="auto"/>
          <w:sz w:val="24"/>
        </w:rPr>
        <w:t>代理人无转委托权。</w:t>
      </w:r>
    </w:p>
    <w:p w14:paraId="0FE3EE58">
      <w:pPr>
        <w:spacing w:line="480" w:lineRule="exact"/>
        <w:ind w:firstLine="482" w:firstLineChars="200"/>
        <w:rPr>
          <w:rFonts w:ascii="宋体"/>
          <w:b/>
          <w:bCs/>
          <w:color w:val="auto"/>
          <w:sz w:val="24"/>
        </w:rPr>
      </w:pPr>
      <w:r>
        <w:rPr>
          <w:rFonts w:hint="eastAsia" w:ascii="宋体"/>
          <w:b/>
          <w:bCs/>
          <w:color w:val="auto"/>
          <w:sz w:val="24"/>
        </w:rPr>
        <w:t>附：授权委托人有效身份证及法定代表人有效身份证</w:t>
      </w:r>
    </w:p>
    <w:p w14:paraId="7E3A4CA0">
      <w:pPr>
        <w:spacing w:line="480" w:lineRule="exact"/>
        <w:rPr>
          <w:rFonts w:ascii="宋体"/>
          <w:color w:val="auto"/>
          <w:sz w:val="24"/>
        </w:rPr>
      </w:pPr>
      <w:r>
        <w:rPr>
          <w:rFonts w:hint="eastAsia" w:ascii="宋体"/>
          <w:color w:val="auto"/>
          <w:sz w:val="24"/>
        </w:rPr>
        <w:t xml:space="preserve">                                     投标人：             </w:t>
      </w:r>
      <w:r>
        <w:rPr>
          <w:rFonts w:hint="eastAsia" w:ascii="宋体"/>
          <w:color w:val="auto"/>
          <w:sz w:val="28"/>
          <w:szCs w:val="28"/>
        </w:rPr>
        <w:t>（盖章）</w:t>
      </w:r>
    </w:p>
    <w:p w14:paraId="1BF58A65">
      <w:pPr>
        <w:spacing w:line="480" w:lineRule="exact"/>
        <w:ind w:firstLine="2280" w:firstLineChars="950"/>
        <w:rPr>
          <w:rFonts w:ascii="宋体"/>
          <w:color w:val="auto"/>
          <w:sz w:val="24"/>
        </w:rPr>
      </w:pPr>
      <w:r>
        <w:rPr>
          <w:rFonts w:hint="eastAsia" w:ascii="宋体"/>
          <w:color w:val="auto"/>
          <w:sz w:val="24"/>
        </w:rPr>
        <w:t xml:space="preserve">法定代表人（身份证号码）：             </w:t>
      </w:r>
      <w:r>
        <w:rPr>
          <w:rFonts w:hint="eastAsia" w:ascii="宋体"/>
          <w:color w:val="auto"/>
          <w:sz w:val="28"/>
          <w:szCs w:val="28"/>
        </w:rPr>
        <w:t>（签字或盖章）</w:t>
      </w:r>
    </w:p>
    <w:p w14:paraId="5B4BB5E5">
      <w:pPr>
        <w:spacing w:line="480" w:lineRule="exact"/>
        <w:ind w:firstLine="2820" w:firstLineChars="1175"/>
        <w:rPr>
          <w:rFonts w:ascii="宋体"/>
          <w:color w:val="auto"/>
          <w:sz w:val="24"/>
        </w:rPr>
      </w:pPr>
      <w:r>
        <w:rPr>
          <w:rFonts w:hint="eastAsia" w:ascii="宋体"/>
          <w:color w:val="auto"/>
          <w:sz w:val="24"/>
        </w:rPr>
        <w:t xml:space="preserve">              年    月    日</w:t>
      </w:r>
    </w:p>
    <w:p w14:paraId="66992E0D">
      <w:pPr>
        <w:spacing w:line="360" w:lineRule="exact"/>
        <w:ind w:firstLine="413" w:firstLineChars="147"/>
        <w:rPr>
          <w:b/>
          <w:color w:val="auto"/>
          <w:sz w:val="28"/>
          <w:szCs w:val="28"/>
          <w:u w:val="single"/>
        </w:rPr>
      </w:pPr>
    </w:p>
    <w:p w14:paraId="2F4EB37B">
      <w:pPr>
        <w:spacing w:line="360" w:lineRule="exact"/>
        <w:ind w:firstLine="443" w:firstLineChars="147"/>
        <w:rPr>
          <w:rFonts w:ascii="宋体"/>
          <w:b/>
          <w:color w:val="auto"/>
          <w:sz w:val="30"/>
          <w:szCs w:val="30"/>
        </w:rPr>
      </w:pPr>
      <w:r>
        <w:rPr>
          <w:rFonts w:hint="eastAsia" w:ascii="宋体"/>
          <w:b/>
          <w:color w:val="auto"/>
          <w:sz w:val="30"/>
          <w:szCs w:val="30"/>
        </w:rPr>
        <w:t>附件2</w:t>
      </w:r>
    </w:p>
    <w:p w14:paraId="65288B81">
      <w:pPr>
        <w:spacing w:line="360" w:lineRule="auto"/>
        <w:jc w:val="center"/>
        <w:rPr>
          <w:rFonts w:ascii="宋体" w:hAnsi="宋体" w:cs="宋体"/>
          <w:b/>
          <w:color w:val="auto"/>
          <w:sz w:val="28"/>
          <w:szCs w:val="28"/>
        </w:rPr>
      </w:pPr>
      <w:r>
        <w:rPr>
          <w:rFonts w:hint="eastAsia" w:ascii="黑体" w:hAnsi="黑体" w:eastAsia="黑体" w:cs="黑体"/>
          <w:b/>
          <w:color w:val="auto"/>
          <w:sz w:val="28"/>
          <w:szCs w:val="28"/>
        </w:rPr>
        <w:t xml:space="preserve"> </w:t>
      </w:r>
      <w:r>
        <w:rPr>
          <w:rFonts w:hint="eastAsia" w:ascii="宋体" w:hAnsi="宋体" w:cs="宋体"/>
          <w:b/>
          <w:color w:val="auto"/>
          <w:sz w:val="28"/>
          <w:szCs w:val="28"/>
        </w:rPr>
        <w:t>诚信投标承诺书</w:t>
      </w:r>
    </w:p>
    <w:bookmarkEnd w:id="119"/>
    <w:p w14:paraId="0F3C98DE">
      <w:pPr>
        <w:spacing w:line="500" w:lineRule="exact"/>
        <w:ind w:firstLine="420" w:firstLineChars="200"/>
        <w:rPr>
          <w:rFonts w:ascii="宋体" w:hAnsi="宋体"/>
          <w:color w:val="auto"/>
          <w:szCs w:val="21"/>
        </w:rPr>
      </w:pPr>
      <w:r>
        <w:rPr>
          <w:rFonts w:hint="eastAsia" w:ascii="宋体" w:hAnsi="宋体"/>
          <w:color w:val="auto"/>
          <w:szCs w:val="21"/>
        </w:rPr>
        <w:t>本人以企业法定代表人的身份郑重承诺：</w:t>
      </w:r>
    </w:p>
    <w:p w14:paraId="624AB365">
      <w:pPr>
        <w:spacing w:line="500" w:lineRule="exact"/>
        <w:ind w:firstLine="420" w:firstLineChars="200"/>
        <w:rPr>
          <w:rFonts w:ascii="宋体" w:hAnsi="宋体"/>
          <w:color w:val="auto"/>
          <w:szCs w:val="21"/>
        </w:rPr>
      </w:pPr>
      <w:r>
        <w:rPr>
          <w:rFonts w:hint="eastAsia" w:ascii="宋体" w:hAnsi="宋体"/>
          <w:color w:val="auto"/>
          <w:szCs w:val="21"/>
        </w:rPr>
        <w:t>一、将遵循公开、公正和诚实信用的原则自愿参加</w:t>
      </w:r>
      <w:r>
        <w:rPr>
          <w:rFonts w:hint="eastAsia" w:ascii="宋体" w:hAnsi="宋体"/>
          <w:color w:val="auto"/>
          <w:szCs w:val="21"/>
          <w:u w:val="single"/>
        </w:rPr>
        <w:t xml:space="preserve">                   </w:t>
      </w:r>
      <w:r>
        <w:rPr>
          <w:rFonts w:hint="eastAsia" w:ascii="宋体" w:hAnsi="宋体"/>
          <w:color w:val="auto"/>
          <w:szCs w:val="21"/>
        </w:rPr>
        <w:t>项目的投标，所提供的一切材料都是真实、有效、合法的；</w:t>
      </w:r>
    </w:p>
    <w:p w14:paraId="27CCE3E1">
      <w:pPr>
        <w:spacing w:line="500" w:lineRule="exact"/>
        <w:ind w:firstLine="420" w:firstLineChars="200"/>
        <w:rPr>
          <w:rFonts w:ascii="宋体" w:hAnsi="宋体"/>
          <w:color w:val="auto"/>
          <w:szCs w:val="21"/>
        </w:rPr>
      </w:pPr>
      <w:r>
        <w:rPr>
          <w:rFonts w:hint="eastAsia" w:ascii="宋体" w:hAnsi="宋体"/>
          <w:color w:val="auto"/>
          <w:szCs w:val="21"/>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289EAD2">
      <w:pPr>
        <w:spacing w:line="500" w:lineRule="exact"/>
        <w:ind w:firstLine="420" w:firstLineChars="200"/>
        <w:rPr>
          <w:rFonts w:ascii="宋体" w:hAnsi="宋体"/>
          <w:color w:val="auto"/>
          <w:szCs w:val="21"/>
        </w:rPr>
      </w:pPr>
      <w:r>
        <w:rPr>
          <w:rFonts w:hint="eastAsia" w:ascii="宋体" w:hAnsi="宋体"/>
          <w:color w:val="auto"/>
          <w:szCs w:val="21"/>
        </w:rPr>
        <w:t>三、不出借、转让资质证书，不让他人挂靠投标，不以他人名义投标或者以其他方式弄虚作假，骗取中标；</w:t>
      </w:r>
    </w:p>
    <w:p w14:paraId="19375D33">
      <w:pPr>
        <w:spacing w:line="500" w:lineRule="exact"/>
        <w:ind w:firstLine="420" w:firstLineChars="200"/>
        <w:rPr>
          <w:rFonts w:ascii="宋体" w:hAnsi="宋体"/>
          <w:color w:val="auto"/>
          <w:szCs w:val="21"/>
        </w:rPr>
      </w:pPr>
      <w:r>
        <w:rPr>
          <w:rFonts w:hint="eastAsia" w:ascii="宋体" w:hAnsi="宋体"/>
          <w:color w:val="auto"/>
          <w:szCs w:val="21"/>
        </w:rPr>
        <w:t>四、不与其他投标人相互串通投标报价，不排挤其他投标人的公平竞争、损害招标人的合法权益；</w:t>
      </w:r>
    </w:p>
    <w:p w14:paraId="22EB2C10">
      <w:pPr>
        <w:spacing w:line="500" w:lineRule="exact"/>
        <w:ind w:firstLine="420" w:firstLineChars="200"/>
        <w:rPr>
          <w:rFonts w:ascii="宋体" w:hAnsi="宋体"/>
          <w:color w:val="auto"/>
          <w:szCs w:val="21"/>
        </w:rPr>
      </w:pPr>
      <w:r>
        <w:rPr>
          <w:rFonts w:hint="eastAsia" w:ascii="宋体" w:hAnsi="宋体"/>
          <w:color w:val="auto"/>
          <w:szCs w:val="21"/>
        </w:rPr>
        <w:t>五、不与招标人、招标代理机构或其他投标人串通投标，损害国家利益、社会公共利益或者他人的合法权益；</w:t>
      </w:r>
    </w:p>
    <w:p w14:paraId="638FDEB3">
      <w:pPr>
        <w:spacing w:line="500" w:lineRule="exact"/>
        <w:ind w:firstLine="420" w:firstLineChars="200"/>
        <w:rPr>
          <w:rFonts w:ascii="宋体" w:hAnsi="宋体"/>
          <w:color w:val="auto"/>
          <w:szCs w:val="21"/>
        </w:rPr>
      </w:pPr>
      <w:r>
        <w:rPr>
          <w:rFonts w:hint="eastAsia" w:ascii="宋体" w:hAnsi="宋体"/>
          <w:color w:val="auto"/>
          <w:szCs w:val="21"/>
        </w:rPr>
        <w:t>六、我公司没有下列情形：1、被人民法院列入失信被执行人的；2、我公司及其法定代表人、拟派项目经理（项目负责人）前三年有行贿犯罪行为的；3、被市场监督管理部门列入经营异常名录或者严重违法企业名单的；4、被税务部门列入重大税收违法案件当事人的；5、被政府采购监管部门列入政府采购严重违法失信行为记录名单的；6、在“信用中国”网站上披露仍在公示期的严重失信行为的；7、被滁州市县两级行业主管部门及公管部门禁止在一定期限内参加政府采购活动且在禁止期限内的；8、被滁州市县两级公管部门记入不良行为记录或者信用信息记录，且在披露期内的；9、被人力资源社会保障行政部门列入拖欠农民工工资“黑名单”的；10、参与政府采购活动前3年在经营活动中有重大违法记录的。</w:t>
      </w:r>
    </w:p>
    <w:p w14:paraId="77D33A20">
      <w:pPr>
        <w:spacing w:line="500" w:lineRule="exact"/>
        <w:ind w:firstLine="420" w:firstLineChars="200"/>
        <w:rPr>
          <w:color w:val="auto"/>
        </w:rPr>
      </w:pPr>
      <w:r>
        <w:rPr>
          <w:rFonts w:hint="eastAsia" w:ascii="宋体" w:hAnsi="宋体"/>
          <w:color w:val="auto"/>
          <w:szCs w:val="21"/>
        </w:rPr>
        <w:t>七、我公司没有下列情形：被滁州市县两级公管部门记入不良行为记录且在披露期内。</w:t>
      </w:r>
    </w:p>
    <w:p w14:paraId="30589E0D">
      <w:pPr>
        <w:spacing w:line="500" w:lineRule="exact"/>
        <w:ind w:firstLine="420" w:firstLineChars="200"/>
        <w:rPr>
          <w:rFonts w:ascii="宋体" w:hAnsi="宋体"/>
          <w:color w:val="auto"/>
          <w:szCs w:val="21"/>
        </w:rPr>
      </w:pPr>
      <w:r>
        <w:rPr>
          <w:rFonts w:hint="eastAsia" w:ascii="宋体" w:hAnsi="宋体"/>
          <w:color w:val="auto"/>
          <w:szCs w:val="21"/>
        </w:rPr>
        <w:t>八、严格遵守开标现场纪律，服从监管人员管理；</w:t>
      </w:r>
    </w:p>
    <w:p w14:paraId="773926BA">
      <w:pPr>
        <w:spacing w:line="500" w:lineRule="exact"/>
        <w:ind w:firstLine="420" w:firstLineChars="200"/>
        <w:rPr>
          <w:rFonts w:ascii="宋体" w:hAnsi="宋体"/>
          <w:color w:val="auto"/>
          <w:szCs w:val="21"/>
        </w:rPr>
      </w:pPr>
      <w:r>
        <w:rPr>
          <w:rFonts w:hint="eastAsia" w:ascii="宋体" w:hAnsi="宋体"/>
          <w:color w:val="auto"/>
          <w:szCs w:val="21"/>
        </w:rPr>
        <w:t>九、保证中标后不转包，若有分包征得招标人同意；</w:t>
      </w:r>
    </w:p>
    <w:p w14:paraId="3BACAF62">
      <w:pPr>
        <w:spacing w:line="500" w:lineRule="exact"/>
        <w:ind w:firstLine="420" w:firstLineChars="200"/>
        <w:rPr>
          <w:rFonts w:ascii="宋体" w:hAnsi="宋体"/>
          <w:color w:val="auto"/>
          <w:szCs w:val="21"/>
        </w:rPr>
      </w:pPr>
      <w:r>
        <w:rPr>
          <w:rFonts w:hint="eastAsia" w:ascii="宋体" w:hAnsi="宋体"/>
          <w:color w:val="auto"/>
          <w:szCs w:val="21"/>
        </w:rPr>
        <w:t>十、保证中标之后，按照投标文件要求提供相关后续服务；</w:t>
      </w:r>
    </w:p>
    <w:p w14:paraId="1A2430B9">
      <w:pPr>
        <w:spacing w:line="500" w:lineRule="exact"/>
        <w:ind w:firstLine="420" w:firstLineChars="200"/>
        <w:rPr>
          <w:rFonts w:ascii="宋体" w:hAnsi="宋体"/>
          <w:color w:val="auto"/>
          <w:szCs w:val="21"/>
        </w:rPr>
      </w:pPr>
      <w:r>
        <w:rPr>
          <w:rFonts w:hint="eastAsia" w:ascii="宋体" w:hAnsi="宋体"/>
          <w:color w:val="auto"/>
          <w:szCs w:val="21"/>
        </w:rPr>
        <w:t>十一、保证企业及所属相关人员在本次投标中无行贿等犯罪行为；</w:t>
      </w:r>
    </w:p>
    <w:p w14:paraId="3BF292F2">
      <w:pPr>
        <w:spacing w:line="500" w:lineRule="exact"/>
        <w:ind w:firstLine="420" w:firstLineChars="200"/>
        <w:rPr>
          <w:rFonts w:ascii="宋体" w:hAnsi="宋体"/>
          <w:color w:val="auto"/>
          <w:szCs w:val="21"/>
        </w:rPr>
      </w:pPr>
      <w:r>
        <w:rPr>
          <w:rFonts w:hint="eastAsia" w:ascii="宋体" w:hAnsi="宋体"/>
          <w:color w:val="auto"/>
          <w:szCs w:val="21"/>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F6F9FA6">
      <w:pPr>
        <w:spacing w:line="500" w:lineRule="exact"/>
        <w:ind w:firstLine="420" w:firstLineChars="200"/>
        <w:rPr>
          <w:rFonts w:ascii="宋体" w:hAnsi="宋体"/>
          <w:color w:val="auto"/>
          <w:szCs w:val="21"/>
        </w:rPr>
      </w:pPr>
      <w:r>
        <w:rPr>
          <w:rFonts w:hint="eastAsia" w:ascii="宋体" w:hAnsi="宋体"/>
          <w:color w:val="auto"/>
          <w:szCs w:val="21"/>
        </w:rPr>
        <w:t>以上内容我已仔细阅读，本公司若有违反承诺内容的行为，自愿接受取消投标或者中标资格、记入不良行为记录等有关处理，愿意承担法律责任，给招标人造成损失的，依法承担赔偿责任。</w:t>
      </w:r>
    </w:p>
    <w:p w14:paraId="0DF2F7E1">
      <w:pPr>
        <w:spacing w:line="500" w:lineRule="exact"/>
        <w:ind w:firstLine="420" w:firstLineChars="200"/>
        <w:rPr>
          <w:rFonts w:ascii="宋体" w:hAnsi="宋体"/>
          <w:color w:val="auto"/>
          <w:szCs w:val="21"/>
        </w:rPr>
      </w:pPr>
      <w:r>
        <w:rPr>
          <w:rFonts w:hint="eastAsia" w:ascii="宋体" w:hAnsi="宋体"/>
          <w:color w:val="auto"/>
          <w:szCs w:val="21"/>
        </w:rPr>
        <w:t> </w:t>
      </w:r>
    </w:p>
    <w:p w14:paraId="26A2B6CE">
      <w:pPr>
        <w:spacing w:line="500" w:lineRule="exact"/>
        <w:ind w:firstLine="420" w:firstLineChars="200"/>
        <w:rPr>
          <w:rFonts w:ascii="宋体" w:hAnsi="宋体"/>
          <w:color w:val="auto"/>
          <w:szCs w:val="21"/>
        </w:rPr>
      </w:pPr>
      <w:r>
        <w:rPr>
          <w:rFonts w:hint="eastAsia" w:ascii="宋体" w:hAnsi="宋体"/>
          <w:color w:val="auto"/>
          <w:szCs w:val="21"/>
        </w:rPr>
        <w:t>开户银行：                            基本账户：</w:t>
      </w:r>
    </w:p>
    <w:p w14:paraId="6A0B74E5">
      <w:pPr>
        <w:spacing w:line="500" w:lineRule="exact"/>
        <w:ind w:firstLine="420" w:firstLineChars="200"/>
        <w:rPr>
          <w:rFonts w:ascii="宋体" w:hAnsi="宋体"/>
          <w:color w:val="auto"/>
          <w:szCs w:val="21"/>
        </w:rPr>
      </w:pPr>
      <w:r>
        <w:rPr>
          <w:rFonts w:hint="eastAsia" w:ascii="宋体" w:hAnsi="宋体"/>
          <w:color w:val="auto"/>
          <w:szCs w:val="21"/>
        </w:rPr>
        <w:t>投标单位（盖章）：          法定代表人（签字或盖章）：</w:t>
      </w:r>
    </w:p>
    <w:p w14:paraId="71E345CB">
      <w:pPr>
        <w:spacing w:line="500" w:lineRule="exact"/>
        <w:ind w:firstLine="420" w:firstLineChars="200"/>
        <w:rPr>
          <w:rFonts w:ascii="宋体" w:hAnsi="宋体"/>
          <w:color w:val="auto"/>
          <w:szCs w:val="21"/>
        </w:rPr>
      </w:pPr>
    </w:p>
    <w:p w14:paraId="171A3D55">
      <w:pPr>
        <w:spacing w:line="560" w:lineRule="exact"/>
        <w:jc w:val="right"/>
        <w:rPr>
          <w:rFonts w:ascii="宋体" w:hAnsi="宋体"/>
          <w:color w:val="auto"/>
          <w:szCs w:val="21"/>
        </w:rPr>
      </w:pPr>
      <w:r>
        <w:rPr>
          <w:rFonts w:hint="eastAsia" w:ascii="宋体" w:hAnsi="宋体"/>
          <w:color w:val="auto"/>
          <w:szCs w:val="21"/>
        </w:rPr>
        <w:t>日期：</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rPr>
        <w:t xml:space="preserve"> </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rPr>
        <w:t xml:space="preserve"> </w:t>
      </w:r>
      <w:r>
        <w:rPr>
          <w:rFonts w:ascii="宋体" w:hAnsi="宋体"/>
          <w:color w:val="auto"/>
          <w:szCs w:val="21"/>
          <w:u w:val="single"/>
        </w:rPr>
        <w:t xml:space="preserve">        </w:t>
      </w:r>
      <w:r>
        <w:rPr>
          <w:rFonts w:hint="eastAsia" w:ascii="宋体" w:hAnsi="宋体"/>
          <w:color w:val="auto"/>
          <w:szCs w:val="21"/>
        </w:rPr>
        <w:t>日</w:t>
      </w:r>
    </w:p>
    <w:p w14:paraId="01D5ED4C">
      <w:pPr>
        <w:spacing w:line="560" w:lineRule="exact"/>
        <w:jc w:val="right"/>
        <w:rPr>
          <w:rFonts w:ascii="仿宋_GB2312" w:eastAsia="仿宋_GB2312"/>
          <w:color w:val="auto"/>
          <w:sz w:val="32"/>
          <w:szCs w:val="32"/>
        </w:rPr>
      </w:pPr>
    </w:p>
    <w:p w14:paraId="7C2BD800">
      <w:pPr>
        <w:jc w:val="center"/>
        <w:rPr>
          <w:rFonts w:ascii="宋体" w:hAnsi="宋体" w:cs="宋体"/>
          <w:b/>
          <w:color w:val="auto"/>
          <w:szCs w:val="21"/>
        </w:rPr>
      </w:pPr>
    </w:p>
    <w:p w14:paraId="14DE9C16">
      <w:pPr>
        <w:pStyle w:val="39"/>
        <w:ind w:firstLine="422"/>
        <w:rPr>
          <w:rFonts w:hAnsi="宋体" w:cs="宋体"/>
          <w:b/>
          <w:color w:val="auto"/>
          <w:szCs w:val="21"/>
        </w:rPr>
      </w:pPr>
    </w:p>
    <w:p w14:paraId="56C1B09C">
      <w:pPr>
        <w:rPr>
          <w:rFonts w:ascii="宋体" w:hAnsi="宋体" w:cs="宋体"/>
          <w:b/>
          <w:color w:val="auto"/>
          <w:szCs w:val="21"/>
        </w:rPr>
      </w:pPr>
    </w:p>
    <w:p w14:paraId="69EE1315">
      <w:pPr>
        <w:pStyle w:val="39"/>
        <w:ind w:firstLine="422"/>
        <w:rPr>
          <w:rFonts w:hAnsi="宋体" w:cs="宋体"/>
          <w:b/>
          <w:color w:val="auto"/>
          <w:szCs w:val="21"/>
        </w:rPr>
      </w:pPr>
    </w:p>
    <w:p w14:paraId="2FA0B628">
      <w:pPr>
        <w:rPr>
          <w:rFonts w:ascii="宋体" w:hAnsi="宋体" w:cs="宋体"/>
          <w:b/>
          <w:color w:val="auto"/>
          <w:szCs w:val="21"/>
        </w:rPr>
      </w:pPr>
    </w:p>
    <w:p w14:paraId="010076D9">
      <w:pPr>
        <w:pStyle w:val="39"/>
        <w:ind w:firstLine="422"/>
        <w:rPr>
          <w:rFonts w:hAnsi="宋体" w:cs="宋体"/>
          <w:b/>
          <w:color w:val="auto"/>
          <w:szCs w:val="21"/>
        </w:rPr>
      </w:pPr>
    </w:p>
    <w:p w14:paraId="21729D00">
      <w:pPr>
        <w:rPr>
          <w:rFonts w:ascii="宋体" w:hAnsi="宋体" w:cs="宋体"/>
          <w:b/>
          <w:color w:val="auto"/>
          <w:szCs w:val="21"/>
        </w:rPr>
      </w:pPr>
    </w:p>
    <w:p w14:paraId="2F60C0F1">
      <w:pPr>
        <w:pStyle w:val="39"/>
        <w:ind w:firstLine="422"/>
        <w:rPr>
          <w:rFonts w:hAnsi="宋体" w:cs="宋体"/>
          <w:b/>
          <w:color w:val="auto"/>
          <w:szCs w:val="21"/>
        </w:rPr>
      </w:pPr>
    </w:p>
    <w:p w14:paraId="2C6CF82E">
      <w:pPr>
        <w:rPr>
          <w:rFonts w:ascii="宋体" w:hAnsi="宋体" w:cs="宋体"/>
          <w:b/>
          <w:color w:val="auto"/>
          <w:szCs w:val="21"/>
        </w:rPr>
      </w:pPr>
    </w:p>
    <w:p w14:paraId="7CBA30D8">
      <w:pPr>
        <w:pStyle w:val="39"/>
        <w:ind w:firstLine="422"/>
        <w:rPr>
          <w:rFonts w:hAnsi="宋体" w:cs="宋体"/>
          <w:b/>
          <w:color w:val="auto"/>
          <w:szCs w:val="21"/>
        </w:rPr>
      </w:pPr>
    </w:p>
    <w:p w14:paraId="43B47999">
      <w:pPr>
        <w:rPr>
          <w:rFonts w:ascii="宋体" w:hAnsi="宋体" w:cs="宋体"/>
          <w:b/>
          <w:color w:val="auto"/>
          <w:szCs w:val="21"/>
        </w:rPr>
      </w:pPr>
    </w:p>
    <w:p w14:paraId="637BE36B">
      <w:pPr>
        <w:pStyle w:val="39"/>
        <w:ind w:firstLine="422"/>
        <w:rPr>
          <w:rFonts w:hAnsi="宋体" w:cs="宋体"/>
          <w:b/>
          <w:color w:val="auto"/>
          <w:szCs w:val="21"/>
        </w:rPr>
      </w:pPr>
    </w:p>
    <w:p w14:paraId="1329CDF6">
      <w:pPr>
        <w:rPr>
          <w:rFonts w:ascii="宋体" w:hAnsi="宋体" w:cs="宋体"/>
          <w:b/>
          <w:color w:val="auto"/>
          <w:szCs w:val="21"/>
        </w:rPr>
      </w:pPr>
    </w:p>
    <w:p w14:paraId="729945BF">
      <w:pPr>
        <w:pStyle w:val="39"/>
        <w:ind w:firstLine="422"/>
        <w:rPr>
          <w:rFonts w:hAnsi="宋体" w:cs="宋体"/>
          <w:b/>
          <w:color w:val="auto"/>
          <w:szCs w:val="21"/>
        </w:rPr>
      </w:pPr>
    </w:p>
    <w:p w14:paraId="7675CE7F">
      <w:pPr>
        <w:rPr>
          <w:rFonts w:ascii="宋体" w:hAnsi="宋体" w:cs="宋体"/>
          <w:b/>
          <w:color w:val="auto"/>
          <w:szCs w:val="21"/>
        </w:rPr>
      </w:pPr>
    </w:p>
    <w:p w14:paraId="6ADCBFFE">
      <w:pPr>
        <w:pStyle w:val="39"/>
        <w:ind w:firstLine="422"/>
        <w:rPr>
          <w:rFonts w:hAnsi="宋体" w:cs="宋体"/>
          <w:b/>
          <w:color w:val="auto"/>
          <w:szCs w:val="21"/>
        </w:rPr>
      </w:pPr>
    </w:p>
    <w:p w14:paraId="6581F0E8">
      <w:pPr>
        <w:rPr>
          <w:color w:val="auto"/>
        </w:rPr>
      </w:pPr>
    </w:p>
    <w:p w14:paraId="5411BCC1">
      <w:pPr>
        <w:rPr>
          <w:rFonts w:ascii="宋体" w:hAnsi="宋体" w:cs="宋体"/>
          <w:b/>
          <w:color w:val="auto"/>
          <w:szCs w:val="21"/>
        </w:rPr>
      </w:pPr>
    </w:p>
    <w:p w14:paraId="4E96083E">
      <w:pPr>
        <w:pStyle w:val="39"/>
        <w:ind w:firstLine="422"/>
        <w:rPr>
          <w:rFonts w:hAnsi="宋体" w:cs="宋体"/>
          <w:b/>
          <w:color w:val="auto"/>
          <w:szCs w:val="21"/>
        </w:rPr>
      </w:pPr>
    </w:p>
    <w:p w14:paraId="4B69D926">
      <w:pPr>
        <w:jc w:val="center"/>
        <w:rPr>
          <w:rFonts w:ascii="宋体" w:hAnsi="宋体" w:cs="宋体"/>
          <w:b/>
          <w:color w:val="auto"/>
          <w:sz w:val="32"/>
          <w:szCs w:val="32"/>
        </w:rPr>
      </w:pPr>
    </w:p>
    <w:p w14:paraId="67E294D8">
      <w:pPr>
        <w:jc w:val="center"/>
        <w:rPr>
          <w:rFonts w:ascii="宋体" w:hAnsi="宋体" w:cs="宋体"/>
          <w:b/>
          <w:color w:val="auto"/>
          <w:sz w:val="32"/>
          <w:szCs w:val="32"/>
        </w:rPr>
      </w:pPr>
      <w:r>
        <w:rPr>
          <w:rFonts w:hint="eastAsia" w:ascii="宋体" w:hAnsi="宋体" w:cs="宋体"/>
          <w:b/>
          <w:color w:val="auto"/>
          <w:sz w:val="32"/>
          <w:szCs w:val="32"/>
        </w:rPr>
        <w:t xml:space="preserve">技术标  </w:t>
      </w:r>
    </w:p>
    <w:p w14:paraId="6052C350">
      <w:pPr>
        <w:jc w:val="center"/>
        <w:rPr>
          <w:rFonts w:ascii="宋体" w:hAnsi="宋体" w:cs="宋体"/>
          <w:color w:val="auto"/>
          <w:sz w:val="28"/>
          <w:szCs w:val="28"/>
        </w:rPr>
      </w:pPr>
    </w:p>
    <w:p w14:paraId="41E1A73E">
      <w:pPr>
        <w:jc w:val="center"/>
        <w:rPr>
          <w:rFonts w:ascii="宋体" w:hAnsi="宋体" w:cs="宋体"/>
          <w:color w:val="auto"/>
          <w:sz w:val="28"/>
          <w:szCs w:val="28"/>
        </w:rPr>
      </w:pPr>
    </w:p>
    <w:p w14:paraId="19D656C1">
      <w:pPr>
        <w:jc w:val="center"/>
        <w:rPr>
          <w:rFonts w:ascii="宋体" w:hAnsi="宋体" w:cs="宋体"/>
          <w:color w:val="auto"/>
          <w:sz w:val="28"/>
          <w:szCs w:val="28"/>
        </w:rPr>
      </w:pPr>
      <w:r>
        <w:rPr>
          <w:rFonts w:hint="eastAsia" w:ascii="宋体" w:hAnsi="宋体" w:cs="宋体"/>
          <w:color w:val="auto"/>
          <w:sz w:val="28"/>
          <w:szCs w:val="28"/>
        </w:rPr>
        <w:t>（</w:t>
      </w:r>
      <w:r>
        <w:rPr>
          <w:rStyle w:val="58"/>
          <w:rFonts w:hint="eastAsia" w:ascii="宋体" w:hAnsi="宋体" w:cs="宋体"/>
          <w:color w:val="auto"/>
          <w:sz w:val="28"/>
          <w:szCs w:val="28"/>
        </w:rPr>
        <w:t>投标文件二</w:t>
      </w:r>
      <w:r>
        <w:rPr>
          <w:rFonts w:hint="eastAsia" w:ascii="宋体" w:hAnsi="宋体" w:cs="宋体"/>
          <w:color w:val="auto"/>
          <w:sz w:val="28"/>
          <w:szCs w:val="28"/>
        </w:rPr>
        <w:t>）</w:t>
      </w:r>
    </w:p>
    <w:p w14:paraId="729C7429">
      <w:pPr>
        <w:jc w:val="center"/>
        <w:rPr>
          <w:rFonts w:ascii="宋体" w:hAnsi="宋体" w:cs="宋体"/>
          <w:color w:val="auto"/>
          <w:sz w:val="28"/>
          <w:szCs w:val="28"/>
        </w:rPr>
      </w:pPr>
    </w:p>
    <w:p w14:paraId="6B65CFCF">
      <w:pPr>
        <w:jc w:val="center"/>
        <w:rPr>
          <w:rFonts w:ascii="宋体" w:hAnsi="宋体" w:cs="宋体"/>
          <w:color w:val="auto"/>
          <w:sz w:val="28"/>
          <w:szCs w:val="28"/>
          <w:u w:val="single"/>
        </w:rPr>
      </w:pPr>
    </w:p>
    <w:p w14:paraId="4897163C">
      <w:pPr>
        <w:jc w:val="center"/>
        <w:rPr>
          <w:rFonts w:ascii="宋体" w:hAnsi="宋体" w:cs="宋体"/>
          <w:color w:val="auto"/>
          <w:sz w:val="28"/>
          <w:szCs w:val="28"/>
        </w:rPr>
      </w:pPr>
      <w:r>
        <w:rPr>
          <w:rFonts w:hint="eastAsia" w:ascii="宋体" w:hAnsi="宋体" w:cs="宋体"/>
          <w:color w:val="auto"/>
          <w:sz w:val="28"/>
          <w:szCs w:val="28"/>
          <w:u w:val="single"/>
        </w:rPr>
        <w:t xml:space="preserve">        </w:t>
      </w:r>
      <w:r>
        <w:rPr>
          <w:rFonts w:hint="eastAsia" w:ascii="宋体" w:hAnsi="宋体" w:cs="宋体"/>
          <w:color w:val="auto"/>
          <w:sz w:val="28"/>
          <w:szCs w:val="28"/>
        </w:rPr>
        <w:t>项目名称</w:t>
      </w:r>
    </w:p>
    <w:p w14:paraId="513A1AFD">
      <w:pPr>
        <w:jc w:val="center"/>
        <w:rPr>
          <w:rFonts w:ascii="宋体" w:hAnsi="宋体" w:cs="宋体"/>
          <w:color w:val="auto"/>
          <w:sz w:val="28"/>
          <w:szCs w:val="28"/>
        </w:rPr>
      </w:pPr>
    </w:p>
    <w:p w14:paraId="1AC266B8">
      <w:pPr>
        <w:jc w:val="center"/>
        <w:rPr>
          <w:rFonts w:ascii="宋体" w:hAnsi="宋体" w:cs="宋体"/>
          <w:color w:val="auto"/>
          <w:sz w:val="28"/>
          <w:szCs w:val="28"/>
        </w:rPr>
      </w:pPr>
    </w:p>
    <w:p w14:paraId="60D8D720">
      <w:pPr>
        <w:rPr>
          <w:rFonts w:ascii="宋体" w:hAnsi="宋体" w:cs="宋体"/>
          <w:color w:val="auto"/>
          <w:sz w:val="28"/>
          <w:szCs w:val="28"/>
        </w:rPr>
      </w:pPr>
    </w:p>
    <w:p w14:paraId="4DDCB105">
      <w:pPr>
        <w:rPr>
          <w:rFonts w:ascii="宋体" w:hAnsi="宋体" w:cs="宋体"/>
          <w:color w:val="auto"/>
          <w:sz w:val="28"/>
          <w:szCs w:val="28"/>
        </w:rPr>
      </w:pPr>
    </w:p>
    <w:p w14:paraId="416A57DD">
      <w:pPr>
        <w:rPr>
          <w:rFonts w:ascii="宋体" w:hAnsi="宋体" w:cs="宋体"/>
          <w:color w:val="auto"/>
          <w:sz w:val="28"/>
          <w:szCs w:val="28"/>
        </w:rPr>
      </w:pPr>
    </w:p>
    <w:p w14:paraId="2438F803">
      <w:pPr>
        <w:rPr>
          <w:rFonts w:ascii="宋体" w:hAnsi="宋体" w:cs="宋体"/>
          <w:color w:val="auto"/>
          <w:sz w:val="28"/>
          <w:szCs w:val="28"/>
        </w:rPr>
      </w:pPr>
    </w:p>
    <w:p w14:paraId="38A33585">
      <w:pPr>
        <w:rPr>
          <w:rFonts w:ascii="宋体" w:hAnsi="宋体" w:cs="宋体"/>
          <w:color w:val="auto"/>
          <w:sz w:val="28"/>
          <w:szCs w:val="28"/>
        </w:rPr>
      </w:pPr>
    </w:p>
    <w:p w14:paraId="7153643D">
      <w:pPr>
        <w:jc w:val="center"/>
        <w:rPr>
          <w:rFonts w:ascii="宋体" w:hAnsi="宋体" w:cs="宋体"/>
          <w:color w:val="auto"/>
          <w:sz w:val="28"/>
          <w:szCs w:val="28"/>
          <w:u w:val="single"/>
        </w:rPr>
      </w:pPr>
      <w:r>
        <w:rPr>
          <w:rFonts w:hint="eastAsia" w:ascii="宋体" w:hAnsi="宋体" w:cs="宋体"/>
          <w:color w:val="auto"/>
          <w:sz w:val="28"/>
          <w:szCs w:val="28"/>
        </w:rPr>
        <w:t>投标人：</w:t>
      </w:r>
      <w:r>
        <w:rPr>
          <w:rFonts w:hint="eastAsia" w:ascii="宋体" w:hAnsi="宋体" w:cs="宋体"/>
          <w:color w:val="auto"/>
          <w:sz w:val="28"/>
          <w:szCs w:val="28"/>
          <w:u w:val="single"/>
        </w:rPr>
        <w:t xml:space="preserve">                              </w:t>
      </w:r>
      <w:r>
        <w:rPr>
          <w:rFonts w:hint="eastAsia" w:ascii="宋体" w:hAnsi="宋体" w:cs="宋体"/>
          <w:color w:val="auto"/>
          <w:sz w:val="28"/>
          <w:szCs w:val="28"/>
        </w:rPr>
        <w:t>（盖章）</w:t>
      </w:r>
    </w:p>
    <w:p w14:paraId="66751C22">
      <w:pPr>
        <w:jc w:val="center"/>
        <w:rPr>
          <w:rFonts w:ascii="宋体" w:hAnsi="宋体" w:cs="宋体"/>
          <w:color w:val="auto"/>
          <w:sz w:val="28"/>
          <w:szCs w:val="28"/>
        </w:rPr>
      </w:pPr>
    </w:p>
    <w:p w14:paraId="2E60991D">
      <w:pPr>
        <w:jc w:val="center"/>
        <w:rPr>
          <w:rFonts w:ascii="宋体" w:hAnsi="宋体" w:cs="宋体"/>
          <w:color w:val="auto"/>
          <w:sz w:val="28"/>
          <w:szCs w:val="28"/>
        </w:rPr>
      </w:pPr>
      <w:r>
        <w:rPr>
          <w:rFonts w:hint="eastAsia" w:ascii="宋体" w:hAnsi="宋体" w:cs="宋体"/>
          <w:color w:val="auto"/>
          <w:sz w:val="28"/>
          <w:szCs w:val="28"/>
        </w:rPr>
        <w:t>法定代表人：</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（签字或盖章）</w:t>
      </w:r>
    </w:p>
    <w:p w14:paraId="5EAC6410">
      <w:pPr>
        <w:jc w:val="center"/>
        <w:rPr>
          <w:rFonts w:ascii="宋体" w:hAnsi="宋体" w:cs="宋体"/>
          <w:color w:val="auto"/>
          <w:sz w:val="28"/>
          <w:szCs w:val="28"/>
          <w:u w:val="single"/>
        </w:rPr>
      </w:pPr>
    </w:p>
    <w:p w14:paraId="4BAB13AD">
      <w:pPr>
        <w:jc w:val="center"/>
        <w:rPr>
          <w:rFonts w:ascii="宋体" w:hAnsi="宋体" w:cs="宋体"/>
          <w:color w:val="auto"/>
          <w:sz w:val="28"/>
          <w:szCs w:val="28"/>
        </w:rPr>
      </w:pP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p w14:paraId="0F183617">
      <w:pPr>
        <w:pStyle w:val="38"/>
        <w:ind w:firstLine="241"/>
        <w:rPr>
          <w:rFonts w:ascii="宋体" w:hAnsi="宋体" w:eastAsia="宋体" w:cs="宋体"/>
          <w:b/>
          <w:color w:val="auto"/>
          <w:sz w:val="24"/>
          <w:szCs w:val="24"/>
        </w:rPr>
      </w:pPr>
    </w:p>
    <w:p w14:paraId="6424BE93">
      <w:pPr>
        <w:pStyle w:val="38"/>
        <w:ind w:firstLine="241"/>
        <w:rPr>
          <w:rFonts w:ascii="宋体" w:hAnsi="宋体" w:eastAsia="宋体" w:cs="宋体"/>
          <w:b/>
          <w:color w:val="auto"/>
          <w:sz w:val="24"/>
          <w:szCs w:val="24"/>
        </w:rPr>
      </w:pPr>
    </w:p>
    <w:p w14:paraId="7035BC99">
      <w:pPr>
        <w:pStyle w:val="38"/>
        <w:ind w:firstLine="0" w:firstLineChars="0"/>
        <w:rPr>
          <w:rFonts w:ascii="宋体" w:hAnsi="宋体" w:eastAsia="宋体" w:cs="宋体"/>
          <w:b/>
          <w:color w:val="auto"/>
          <w:sz w:val="30"/>
          <w:szCs w:val="30"/>
        </w:rPr>
      </w:pPr>
    </w:p>
    <w:p w14:paraId="605933F4">
      <w:pPr>
        <w:spacing w:line="560" w:lineRule="exact"/>
        <w:jc w:val="center"/>
        <w:rPr>
          <w:rFonts w:ascii="宋体" w:hAnsi="宋体" w:cs="宋体"/>
          <w:b/>
          <w:color w:val="auto"/>
          <w:sz w:val="30"/>
          <w:szCs w:val="30"/>
        </w:rPr>
      </w:pPr>
      <w:r>
        <w:rPr>
          <w:rFonts w:hint="eastAsia" w:ascii="宋体" w:hAnsi="宋体" w:cs="宋体"/>
          <w:b/>
          <w:color w:val="auto"/>
          <w:sz w:val="30"/>
          <w:szCs w:val="30"/>
        </w:rPr>
        <w:t>目   录</w:t>
      </w:r>
    </w:p>
    <w:p w14:paraId="0619F801">
      <w:pPr>
        <w:spacing w:line="560" w:lineRule="exact"/>
        <w:jc w:val="center"/>
        <w:rPr>
          <w:rFonts w:ascii="宋体" w:hAnsi="宋体" w:cs="宋体"/>
          <w:b/>
          <w:color w:val="auto"/>
          <w:sz w:val="30"/>
          <w:szCs w:val="30"/>
        </w:rPr>
      </w:pPr>
    </w:p>
    <w:p w14:paraId="72AD321D">
      <w:pPr>
        <w:pStyle w:val="3"/>
        <w:spacing w:line="360" w:lineRule="auto"/>
        <w:rPr>
          <w:rFonts w:ascii="宋体" w:hAnsi="宋体" w:cs="宋体"/>
          <w:b w:val="0"/>
          <w:bCs/>
          <w:color w:val="auto"/>
        </w:rPr>
      </w:pPr>
      <w:r>
        <w:rPr>
          <w:rFonts w:hint="eastAsia" w:ascii="宋体" w:hAnsi="宋体" w:cs="宋体"/>
          <w:b w:val="0"/>
          <w:bCs/>
          <w:color w:val="auto"/>
        </w:rPr>
        <w:t>（1）服务承诺：是否响应招标文件要求的书面说明和服务承诺书（格式见附件）；</w:t>
      </w:r>
    </w:p>
    <w:p w14:paraId="36D14704">
      <w:pPr>
        <w:pStyle w:val="3"/>
        <w:spacing w:line="360" w:lineRule="auto"/>
        <w:rPr>
          <w:rFonts w:ascii="宋体" w:hAnsi="宋体" w:cs="宋体"/>
          <w:b w:val="0"/>
          <w:bCs/>
          <w:color w:val="auto"/>
        </w:rPr>
      </w:pPr>
      <w:r>
        <w:rPr>
          <w:rFonts w:hint="eastAsia" w:ascii="宋体" w:hAnsi="宋体" w:cs="宋体"/>
          <w:b w:val="0"/>
          <w:bCs/>
          <w:color w:val="auto"/>
        </w:rPr>
        <w:t>（2）招标文件中要求的技术标评审及技术标评分的支持资料；</w:t>
      </w:r>
    </w:p>
    <w:p w14:paraId="02943A1D">
      <w:pPr>
        <w:pStyle w:val="3"/>
        <w:spacing w:line="360" w:lineRule="auto"/>
        <w:rPr>
          <w:rFonts w:ascii="宋体" w:hAnsi="宋体" w:cs="宋体"/>
          <w:b w:val="0"/>
          <w:bCs/>
          <w:color w:val="auto"/>
        </w:rPr>
      </w:pPr>
      <w:r>
        <w:rPr>
          <w:rFonts w:hint="eastAsia" w:ascii="宋体" w:hAnsi="宋体" w:cs="宋体"/>
          <w:b w:val="0"/>
          <w:bCs/>
          <w:color w:val="auto"/>
        </w:rPr>
        <w:t>（3）投标供应商认为需要提供的其他技术证明材料。</w:t>
      </w:r>
    </w:p>
    <w:p w14:paraId="5667373C">
      <w:pPr>
        <w:spacing w:line="440" w:lineRule="exact"/>
        <w:ind w:firstLine="482" w:firstLineChars="200"/>
        <w:rPr>
          <w:rFonts w:ascii="宋体" w:hAnsi="宋体"/>
          <w:b/>
          <w:color w:val="auto"/>
          <w:sz w:val="24"/>
        </w:rPr>
      </w:pPr>
    </w:p>
    <w:p w14:paraId="0BD25CC7">
      <w:pPr>
        <w:rPr>
          <w:rFonts w:ascii="宋体" w:hAnsi="宋体"/>
          <w:b/>
          <w:color w:val="auto"/>
          <w:sz w:val="24"/>
        </w:rPr>
      </w:pPr>
    </w:p>
    <w:p w14:paraId="567C9AEB">
      <w:pPr>
        <w:rPr>
          <w:rFonts w:ascii="宋体" w:hAnsi="宋体"/>
          <w:b/>
          <w:color w:val="auto"/>
          <w:sz w:val="24"/>
        </w:rPr>
      </w:pPr>
    </w:p>
    <w:p w14:paraId="75738B3B">
      <w:pPr>
        <w:rPr>
          <w:rFonts w:ascii="宋体" w:hAnsi="宋体"/>
          <w:b/>
          <w:color w:val="auto"/>
          <w:sz w:val="24"/>
        </w:rPr>
      </w:pPr>
    </w:p>
    <w:p w14:paraId="05810DBA">
      <w:pPr>
        <w:rPr>
          <w:rFonts w:ascii="宋体" w:hAnsi="宋体"/>
          <w:b/>
          <w:color w:val="auto"/>
          <w:sz w:val="24"/>
        </w:rPr>
      </w:pPr>
    </w:p>
    <w:p w14:paraId="6906F659">
      <w:pPr>
        <w:rPr>
          <w:rFonts w:ascii="宋体" w:hAnsi="宋体"/>
          <w:b/>
          <w:color w:val="auto"/>
          <w:sz w:val="24"/>
        </w:rPr>
      </w:pPr>
    </w:p>
    <w:p w14:paraId="63C0A764">
      <w:pPr>
        <w:rPr>
          <w:rFonts w:ascii="宋体" w:hAnsi="宋体"/>
          <w:b/>
          <w:color w:val="auto"/>
          <w:sz w:val="24"/>
        </w:rPr>
      </w:pPr>
    </w:p>
    <w:p w14:paraId="4354D6AC">
      <w:pPr>
        <w:rPr>
          <w:rFonts w:ascii="宋体" w:hAnsi="宋体"/>
          <w:b/>
          <w:color w:val="auto"/>
          <w:sz w:val="24"/>
        </w:rPr>
      </w:pPr>
    </w:p>
    <w:p w14:paraId="2AECB3AF">
      <w:pPr>
        <w:rPr>
          <w:rFonts w:ascii="宋体" w:hAnsi="宋体"/>
          <w:b/>
          <w:color w:val="auto"/>
          <w:sz w:val="24"/>
        </w:rPr>
      </w:pPr>
    </w:p>
    <w:p w14:paraId="713F8CE4">
      <w:pPr>
        <w:rPr>
          <w:rFonts w:ascii="宋体" w:hAnsi="宋体"/>
          <w:b/>
          <w:color w:val="auto"/>
          <w:sz w:val="24"/>
        </w:rPr>
      </w:pPr>
    </w:p>
    <w:p w14:paraId="217BAD26">
      <w:pPr>
        <w:rPr>
          <w:rFonts w:ascii="宋体" w:hAnsi="宋体"/>
          <w:b/>
          <w:color w:val="auto"/>
          <w:sz w:val="24"/>
        </w:rPr>
      </w:pPr>
    </w:p>
    <w:p w14:paraId="106C6B95">
      <w:pPr>
        <w:rPr>
          <w:rFonts w:ascii="宋体" w:hAnsi="宋体"/>
          <w:b/>
          <w:color w:val="auto"/>
          <w:sz w:val="24"/>
        </w:rPr>
      </w:pPr>
    </w:p>
    <w:p w14:paraId="3516D254">
      <w:pPr>
        <w:rPr>
          <w:rFonts w:ascii="宋体" w:hAnsi="宋体"/>
          <w:b/>
          <w:color w:val="auto"/>
          <w:sz w:val="24"/>
        </w:rPr>
      </w:pPr>
    </w:p>
    <w:p w14:paraId="5DC65E8C">
      <w:pPr>
        <w:rPr>
          <w:rFonts w:ascii="宋体" w:hAnsi="宋体"/>
          <w:b/>
          <w:color w:val="auto"/>
          <w:sz w:val="24"/>
        </w:rPr>
      </w:pPr>
    </w:p>
    <w:p w14:paraId="53C2F84C">
      <w:pPr>
        <w:rPr>
          <w:rFonts w:ascii="宋体" w:hAnsi="宋体"/>
          <w:b/>
          <w:color w:val="auto"/>
          <w:sz w:val="24"/>
        </w:rPr>
      </w:pPr>
    </w:p>
    <w:p w14:paraId="54072543">
      <w:pPr>
        <w:pStyle w:val="31"/>
        <w:ind w:left="0" w:firstLine="0"/>
        <w:rPr>
          <w:rFonts w:ascii="宋体" w:hAnsi="宋体" w:eastAsia="宋体" w:cs="宋体"/>
        </w:rPr>
      </w:pPr>
    </w:p>
    <w:p w14:paraId="63E3D357">
      <w:pPr>
        <w:pStyle w:val="31"/>
        <w:ind w:left="0" w:firstLine="0"/>
        <w:rPr>
          <w:rFonts w:ascii="宋体" w:hAnsi="宋体" w:eastAsia="宋体" w:cs="宋体"/>
        </w:rPr>
      </w:pPr>
    </w:p>
    <w:p w14:paraId="0D918293">
      <w:pPr>
        <w:rPr>
          <w:rFonts w:ascii="宋体" w:hAnsi="宋体" w:cs="宋体"/>
          <w:color w:val="auto"/>
        </w:rPr>
      </w:pPr>
    </w:p>
    <w:p w14:paraId="7843E495">
      <w:pPr>
        <w:pStyle w:val="39"/>
        <w:ind w:firstLine="420"/>
        <w:rPr>
          <w:rFonts w:hAnsi="宋体" w:cs="宋体"/>
          <w:color w:val="auto"/>
        </w:rPr>
      </w:pPr>
    </w:p>
    <w:p w14:paraId="305419A7">
      <w:pPr>
        <w:rPr>
          <w:rFonts w:ascii="宋体" w:hAnsi="宋体" w:cs="宋体"/>
          <w:color w:val="auto"/>
        </w:rPr>
      </w:pPr>
    </w:p>
    <w:p w14:paraId="15DE0EA5">
      <w:pPr>
        <w:pStyle w:val="2"/>
        <w:rPr>
          <w:rFonts w:ascii="宋体" w:hAnsi="宋体" w:eastAsia="宋体" w:cs="宋体"/>
          <w:color w:val="auto"/>
        </w:rPr>
      </w:pPr>
    </w:p>
    <w:p w14:paraId="0D818A72">
      <w:pPr>
        <w:rPr>
          <w:rFonts w:ascii="宋体" w:hAnsi="宋体" w:cs="宋体"/>
          <w:color w:val="auto"/>
        </w:rPr>
      </w:pPr>
    </w:p>
    <w:p w14:paraId="01FBFAA4">
      <w:pPr>
        <w:pStyle w:val="2"/>
        <w:rPr>
          <w:color w:val="auto"/>
        </w:rPr>
      </w:pPr>
    </w:p>
    <w:p w14:paraId="109C3191">
      <w:pPr>
        <w:rPr>
          <w:rFonts w:ascii="宋体" w:hAnsi="宋体" w:cs="宋体"/>
          <w:color w:val="auto"/>
        </w:rPr>
      </w:pPr>
    </w:p>
    <w:p w14:paraId="03F0A3B3">
      <w:pPr>
        <w:pStyle w:val="39"/>
        <w:ind w:firstLine="420"/>
        <w:rPr>
          <w:color w:val="auto"/>
        </w:rPr>
      </w:pPr>
    </w:p>
    <w:p w14:paraId="67FCD8EB">
      <w:pPr>
        <w:spacing w:line="360" w:lineRule="auto"/>
        <w:rPr>
          <w:b/>
          <w:color w:val="auto"/>
          <w:sz w:val="28"/>
          <w:szCs w:val="28"/>
        </w:rPr>
      </w:pPr>
    </w:p>
    <w:p w14:paraId="7795E541">
      <w:pPr>
        <w:rPr>
          <w:rFonts w:ascii="宋体" w:hAnsi="宋体" w:cs="宋体"/>
          <w:b/>
          <w:bCs/>
          <w:color w:val="auto"/>
          <w:sz w:val="28"/>
          <w:szCs w:val="28"/>
        </w:rPr>
      </w:pPr>
    </w:p>
    <w:p w14:paraId="650CC055">
      <w:pPr>
        <w:rPr>
          <w:rFonts w:ascii="宋体" w:hAnsi="宋体" w:cs="宋体"/>
          <w:b/>
          <w:bCs/>
          <w:color w:val="auto"/>
          <w:sz w:val="28"/>
          <w:szCs w:val="28"/>
        </w:rPr>
      </w:pPr>
      <w:r>
        <w:rPr>
          <w:rFonts w:hint="eastAsia" w:ascii="宋体" w:hAnsi="宋体" w:cs="宋体"/>
          <w:b/>
          <w:bCs/>
          <w:color w:val="auto"/>
          <w:sz w:val="28"/>
          <w:szCs w:val="28"/>
        </w:rPr>
        <w:t>附件1</w:t>
      </w:r>
    </w:p>
    <w:p w14:paraId="30A24D7C">
      <w:pPr>
        <w:jc w:val="center"/>
        <w:rPr>
          <w:rFonts w:ascii="宋体" w:hAnsi="宋体" w:cs="宋体"/>
          <w:b/>
          <w:color w:val="auto"/>
          <w:sz w:val="30"/>
          <w:szCs w:val="30"/>
        </w:rPr>
      </w:pPr>
      <w:r>
        <w:rPr>
          <w:rFonts w:hint="eastAsia" w:ascii="宋体" w:hAnsi="宋体" w:cs="宋体"/>
          <w:b/>
          <w:bCs/>
          <w:color w:val="auto"/>
          <w:sz w:val="28"/>
          <w:szCs w:val="28"/>
        </w:rPr>
        <w:t xml:space="preserve"> </w:t>
      </w:r>
      <w:r>
        <w:rPr>
          <w:rFonts w:hint="eastAsia" w:ascii="宋体" w:hAnsi="宋体" w:cs="宋体"/>
          <w:b/>
          <w:color w:val="auto"/>
          <w:sz w:val="30"/>
          <w:szCs w:val="30"/>
        </w:rPr>
        <w:t>服务承诺书</w:t>
      </w:r>
    </w:p>
    <w:p w14:paraId="6938C5E4">
      <w:pPr>
        <w:widowControl w:val="0"/>
        <w:spacing w:line="360" w:lineRule="auto"/>
        <w:textAlignment w:val="auto"/>
        <w:rPr>
          <w:rFonts w:ascii="宋体" w:hAnsi="宋体" w:cs="宋体"/>
          <w:b/>
          <w:color w:val="auto"/>
          <w:sz w:val="24"/>
        </w:rPr>
      </w:pPr>
      <w:r>
        <w:rPr>
          <w:rFonts w:hint="eastAsia" w:ascii="宋体" w:hAnsi="宋体" w:cs="宋体"/>
          <w:color w:val="auto"/>
          <w:sz w:val="24"/>
        </w:rPr>
        <w:t>致：</w:t>
      </w:r>
      <w:r>
        <w:rPr>
          <w:rFonts w:hint="eastAsia" w:ascii="宋体" w:hAnsi="宋体" w:cs="宋体"/>
          <w:color w:val="auto"/>
          <w:sz w:val="24"/>
          <w:u w:val="single"/>
        </w:rPr>
        <w:t xml:space="preserve">          （招标人）     ：</w:t>
      </w:r>
    </w:p>
    <w:p w14:paraId="3A01B2F8">
      <w:pPr>
        <w:widowControl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本承诺声明：</w:t>
      </w:r>
      <w:r>
        <w:rPr>
          <w:rFonts w:hint="eastAsia" w:ascii="宋体" w:hAnsi="宋体" w:cs="宋体"/>
          <w:color w:val="auto"/>
          <w:sz w:val="24"/>
          <w:u w:val="single"/>
        </w:rPr>
        <w:t xml:space="preserve">    （投标人名称 ）   </w:t>
      </w:r>
      <w:r>
        <w:rPr>
          <w:rFonts w:hint="eastAsia" w:ascii="宋体" w:hAnsi="宋体" w:cs="宋体"/>
          <w:color w:val="auto"/>
          <w:sz w:val="24"/>
        </w:rPr>
        <w:t>除技术参数响应表中已列出的负偏离参数以外的其余均完全响应本招标文件（含第四章采购需求及技术参数要求全部内容）的所有要求。并承诺工作人员在采购人单位作业期间，持证上岗，严格遵守采购人单位的规章制度,做到文明施工，确保安全、保质、快捷可靠。因我方维修保养质量所引起的一切事故责任由我方承担，服务过程中做好自身防护，因不规范操作，造成安全事故的，由我方全权承担。承诺持证上岗人员为是资信文件中提供证书的维保人员，若有幸中标将严格按照以上承诺进行供货和服务。</w:t>
      </w:r>
    </w:p>
    <w:p w14:paraId="0BA984CC">
      <w:pPr>
        <w:widowControl w:val="0"/>
        <w:spacing w:line="360" w:lineRule="auto"/>
        <w:textAlignment w:val="auto"/>
        <w:rPr>
          <w:rFonts w:ascii="宋体" w:hAnsi="宋体" w:cs="宋体"/>
          <w:color w:val="auto"/>
          <w:sz w:val="24"/>
        </w:rPr>
      </w:pPr>
    </w:p>
    <w:p w14:paraId="511B84AD">
      <w:pPr>
        <w:widowControl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特此声明</w:t>
      </w:r>
    </w:p>
    <w:p w14:paraId="70395605">
      <w:pPr>
        <w:rPr>
          <w:rFonts w:ascii="宋体" w:hAnsi="宋体" w:cs="宋体"/>
          <w:color w:val="auto"/>
          <w:sz w:val="24"/>
        </w:rPr>
      </w:pPr>
      <w:r>
        <w:rPr>
          <w:rFonts w:hint="eastAsia" w:ascii="宋体" w:hAnsi="宋体" w:cs="宋体"/>
          <w:color w:val="auto"/>
          <w:sz w:val="24"/>
        </w:rPr>
        <w:t> </w:t>
      </w:r>
    </w:p>
    <w:p w14:paraId="55F18F3F">
      <w:pPr>
        <w:spacing w:line="480" w:lineRule="auto"/>
        <w:ind w:firstLine="480" w:firstLineChars="200"/>
        <w:rPr>
          <w:rFonts w:ascii="宋体" w:hAnsi="宋体"/>
          <w:color w:val="auto"/>
          <w:sz w:val="24"/>
          <w:szCs w:val="21"/>
        </w:rPr>
      </w:pPr>
      <w:r>
        <w:rPr>
          <w:rFonts w:hint="eastAsia" w:ascii="宋体" w:hAnsi="宋体" w:cs="宋体"/>
          <w:color w:val="auto"/>
          <w:sz w:val="24"/>
        </w:rPr>
        <w:t xml:space="preserve">                    </w:t>
      </w:r>
      <w:r>
        <w:rPr>
          <w:rFonts w:hint="eastAsia" w:ascii="宋体"/>
          <w:color w:val="auto"/>
          <w:sz w:val="24"/>
        </w:rPr>
        <w:t xml:space="preserve"> </w:t>
      </w:r>
      <w:r>
        <w:rPr>
          <w:rFonts w:hint="eastAsia" w:ascii="宋体" w:hAnsi="宋体"/>
          <w:color w:val="auto"/>
          <w:sz w:val="24"/>
          <w:szCs w:val="21"/>
        </w:rPr>
        <w:t>投标人名称：</w:t>
      </w:r>
      <w:r>
        <w:rPr>
          <w:rFonts w:ascii="宋体" w:hAnsi="宋体"/>
          <w:color w:val="auto"/>
          <w:sz w:val="24"/>
          <w:szCs w:val="21"/>
          <w:u w:val="single"/>
        </w:rPr>
        <w:t xml:space="preserve">      </w:t>
      </w:r>
      <w:r>
        <w:rPr>
          <w:rFonts w:hint="eastAsia" w:ascii="宋体" w:hAnsi="宋体"/>
          <w:color w:val="auto"/>
          <w:sz w:val="24"/>
          <w:szCs w:val="21"/>
          <w:u w:val="single"/>
        </w:rPr>
        <w:t xml:space="preserve">                    </w:t>
      </w:r>
      <w:r>
        <w:rPr>
          <w:rFonts w:hint="eastAsia" w:ascii="宋体" w:hAnsi="宋体"/>
          <w:color w:val="auto"/>
          <w:sz w:val="24"/>
          <w:szCs w:val="21"/>
        </w:rPr>
        <w:t>（盖章）</w:t>
      </w:r>
    </w:p>
    <w:p w14:paraId="2CDF75DB">
      <w:pPr>
        <w:spacing w:line="480" w:lineRule="auto"/>
        <w:ind w:firstLine="480" w:firstLineChars="200"/>
        <w:jc w:val="right"/>
        <w:rPr>
          <w:rFonts w:ascii="宋体" w:hAnsi="宋体"/>
          <w:color w:val="auto"/>
          <w:sz w:val="24"/>
          <w:szCs w:val="21"/>
        </w:rPr>
      </w:pPr>
      <w:r>
        <w:rPr>
          <w:rFonts w:hint="eastAsia" w:ascii="宋体" w:hAnsi="宋体"/>
          <w:color w:val="auto"/>
          <w:sz w:val="24"/>
          <w:szCs w:val="21"/>
        </w:rPr>
        <w:t>法定代表人：</w:t>
      </w:r>
      <w:r>
        <w:rPr>
          <w:rFonts w:hint="eastAsia" w:ascii="宋体" w:hAnsi="宋体"/>
          <w:color w:val="auto"/>
          <w:sz w:val="24"/>
          <w:szCs w:val="21"/>
          <w:u w:val="single"/>
        </w:rPr>
        <w:t xml:space="preserve">                               </w:t>
      </w:r>
      <w:r>
        <w:rPr>
          <w:rFonts w:hint="eastAsia" w:ascii="宋体" w:hAnsi="宋体"/>
          <w:color w:val="auto"/>
          <w:sz w:val="24"/>
          <w:szCs w:val="21"/>
        </w:rPr>
        <w:t>(签字或盖章)</w:t>
      </w:r>
    </w:p>
    <w:p w14:paraId="46C93055">
      <w:pPr>
        <w:spacing w:line="480" w:lineRule="auto"/>
        <w:jc w:val="right"/>
        <w:rPr>
          <w:b/>
          <w:color w:val="auto"/>
          <w:sz w:val="36"/>
          <w:szCs w:val="28"/>
        </w:rPr>
      </w:pPr>
      <w:r>
        <w:rPr>
          <w:rFonts w:hint="eastAsia" w:ascii="宋体" w:hAnsi="宋体"/>
          <w:color w:val="auto"/>
          <w:sz w:val="24"/>
          <w:szCs w:val="21"/>
        </w:rPr>
        <w:t xml:space="preserve">                                  日    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14:paraId="02FF3A29">
      <w:pPr>
        <w:ind w:firstLine="3780" w:firstLineChars="1800"/>
        <w:rPr>
          <w:color w:val="auto"/>
        </w:rPr>
      </w:pPr>
    </w:p>
    <w:p w14:paraId="68D045BE">
      <w:pPr>
        <w:wordWrap w:val="0"/>
        <w:rPr>
          <w:color w:val="auto"/>
        </w:rPr>
      </w:pPr>
    </w:p>
    <w:p w14:paraId="4D57FE5F">
      <w:pPr>
        <w:spacing w:line="360" w:lineRule="auto"/>
        <w:rPr>
          <w:b/>
          <w:color w:val="auto"/>
          <w:sz w:val="28"/>
          <w:szCs w:val="28"/>
        </w:rPr>
      </w:pPr>
    </w:p>
    <w:p w14:paraId="20AE60A1">
      <w:pPr>
        <w:pStyle w:val="39"/>
        <w:ind w:firstLine="562"/>
        <w:rPr>
          <w:b/>
          <w:color w:val="auto"/>
          <w:sz w:val="28"/>
          <w:szCs w:val="28"/>
        </w:rPr>
      </w:pPr>
    </w:p>
    <w:p w14:paraId="20863F02">
      <w:pPr>
        <w:rPr>
          <w:b/>
          <w:color w:val="auto"/>
          <w:sz w:val="28"/>
          <w:szCs w:val="28"/>
        </w:rPr>
      </w:pPr>
    </w:p>
    <w:p w14:paraId="5DB0B0DD">
      <w:pPr>
        <w:pStyle w:val="39"/>
        <w:ind w:firstLine="562"/>
        <w:rPr>
          <w:b/>
          <w:color w:val="auto"/>
          <w:sz w:val="28"/>
          <w:szCs w:val="28"/>
        </w:rPr>
      </w:pPr>
    </w:p>
    <w:p w14:paraId="5B643D25">
      <w:pPr>
        <w:rPr>
          <w:b/>
          <w:color w:val="auto"/>
          <w:sz w:val="28"/>
          <w:szCs w:val="28"/>
        </w:rPr>
      </w:pPr>
    </w:p>
    <w:p w14:paraId="2CA05733">
      <w:pPr>
        <w:pStyle w:val="39"/>
        <w:ind w:firstLine="562"/>
        <w:rPr>
          <w:b/>
          <w:color w:val="auto"/>
          <w:sz w:val="28"/>
          <w:szCs w:val="28"/>
        </w:rPr>
      </w:pPr>
    </w:p>
    <w:p w14:paraId="3B658403">
      <w:pPr>
        <w:rPr>
          <w:b/>
          <w:color w:val="auto"/>
          <w:sz w:val="28"/>
          <w:szCs w:val="28"/>
        </w:rPr>
      </w:pPr>
    </w:p>
    <w:p w14:paraId="03A172D2">
      <w:pPr>
        <w:pStyle w:val="39"/>
        <w:ind w:firstLine="562"/>
        <w:rPr>
          <w:b/>
          <w:color w:val="auto"/>
          <w:sz w:val="28"/>
          <w:szCs w:val="28"/>
        </w:rPr>
      </w:pPr>
    </w:p>
    <w:p w14:paraId="48F7C84E">
      <w:pPr>
        <w:rPr>
          <w:b/>
          <w:color w:val="auto"/>
          <w:sz w:val="28"/>
          <w:szCs w:val="28"/>
        </w:rPr>
      </w:pPr>
    </w:p>
    <w:p w14:paraId="7AED80BA">
      <w:pPr>
        <w:jc w:val="center"/>
        <w:rPr>
          <w:rFonts w:ascii="宋体" w:hAnsi="宋体" w:cs="宋体"/>
          <w:b/>
          <w:color w:val="auto"/>
          <w:sz w:val="32"/>
          <w:szCs w:val="32"/>
        </w:rPr>
      </w:pPr>
    </w:p>
    <w:p w14:paraId="7FCE48C5">
      <w:pPr>
        <w:jc w:val="center"/>
        <w:rPr>
          <w:rFonts w:ascii="宋体" w:hAnsi="宋体" w:cs="宋体"/>
          <w:b/>
          <w:color w:val="auto"/>
          <w:sz w:val="32"/>
          <w:szCs w:val="32"/>
        </w:rPr>
      </w:pPr>
      <w:r>
        <w:rPr>
          <w:rFonts w:hint="eastAsia" w:ascii="宋体" w:hAnsi="宋体" w:cs="宋体"/>
          <w:b/>
          <w:color w:val="auto"/>
          <w:sz w:val="32"/>
          <w:szCs w:val="32"/>
        </w:rPr>
        <w:t>商务标</w:t>
      </w:r>
    </w:p>
    <w:p w14:paraId="7198585F">
      <w:pPr>
        <w:jc w:val="center"/>
        <w:rPr>
          <w:rFonts w:ascii="宋体" w:hAnsi="宋体" w:cs="宋体"/>
          <w:color w:val="auto"/>
          <w:sz w:val="32"/>
          <w:szCs w:val="32"/>
        </w:rPr>
      </w:pPr>
      <w:r>
        <w:rPr>
          <w:rFonts w:hint="eastAsia" w:ascii="宋体" w:hAnsi="宋体" w:cs="宋体"/>
          <w:color w:val="auto"/>
          <w:sz w:val="32"/>
          <w:szCs w:val="32"/>
        </w:rPr>
        <w:t>（</w:t>
      </w:r>
      <w:r>
        <w:rPr>
          <w:rStyle w:val="58"/>
          <w:rFonts w:hint="eastAsia" w:ascii="宋体" w:hAnsi="宋体" w:cs="宋体"/>
          <w:color w:val="auto"/>
          <w:sz w:val="32"/>
        </w:rPr>
        <w:t>投标文件三</w:t>
      </w:r>
      <w:r>
        <w:rPr>
          <w:rFonts w:hint="eastAsia" w:ascii="宋体" w:hAnsi="宋体" w:cs="宋体"/>
          <w:color w:val="auto"/>
          <w:sz w:val="32"/>
          <w:szCs w:val="32"/>
        </w:rPr>
        <w:t>）</w:t>
      </w:r>
    </w:p>
    <w:p w14:paraId="218CB7E3">
      <w:pPr>
        <w:jc w:val="center"/>
        <w:rPr>
          <w:rFonts w:ascii="宋体" w:hAnsi="宋体" w:cs="宋体"/>
          <w:color w:val="auto"/>
          <w:sz w:val="32"/>
          <w:szCs w:val="32"/>
        </w:rPr>
      </w:pPr>
    </w:p>
    <w:p w14:paraId="182E6927">
      <w:pPr>
        <w:jc w:val="center"/>
        <w:rPr>
          <w:rFonts w:ascii="宋体" w:hAnsi="宋体" w:cs="宋体"/>
          <w:color w:val="auto"/>
          <w:sz w:val="28"/>
          <w:szCs w:val="28"/>
          <w:u w:val="single"/>
        </w:rPr>
      </w:pPr>
    </w:p>
    <w:p w14:paraId="1DD9D0D2">
      <w:pPr>
        <w:jc w:val="center"/>
        <w:rPr>
          <w:rFonts w:ascii="宋体" w:hAnsi="宋体" w:cs="宋体"/>
          <w:color w:val="auto"/>
          <w:sz w:val="28"/>
          <w:szCs w:val="28"/>
          <w:u w:val="single"/>
        </w:rPr>
      </w:pPr>
    </w:p>
    <w:p w14:paraId="7A11FABC">
      <w:pPr>
        <w:jc w:val="center"/>
        <w:rPr>
          <w:rFonts w:ascii="宋体" w:hAnsi="宋体" w:cs="宋体"/>
          <w:color w:val="auto"/>
          <w:sz w:val="28"/>
          <w:szCs w:val="28"/>
        </w:rPr>
      </w:pPr>
      <w:r>
        <w:rPr>
          <w:rFonts w:hint="eastAsia" w:ascii="宋体" w:hAnsi="宋体" w:cs="宋体"/>
          <w:color w:val="auto"/>
          <w:sz w:val="28"/>
          <w:szCs w:val="28"/>
          <w:u w:val="single"/>
        </w:rPr>
        <w:t xml:space="preserve">        </w:t>
      </w:r>
      <w:r>
        <w:rPr>
          <w:rFonts w:hint="eastAsia" w:ascii="宋体" w:hAnsi="宋体" w:cs="宋体"/>
          <w:color w:val="auto"/>
          <w:sz w:val="28"/>
          <w:szCs w:val="28"/>
        </w:rPr>
        <w:t>项目名称</w:t>
      </w:r>
    </w:p>
    <w:p w14:paraId="04BB0AD3">
      <w:pPr>
        <w:jc w:val="center"/>
        <w:rPr>
          <w:rFonts w:ascii="宋体" w:hAnsi="宋体" w:cs="宋体"/>
          <w:color w:val="auto"/>
          <w:sz w:val="28"/>
          <w:szCs w:val="28"/>
        </w:rPr>
      </w:pPr>
    </w:p>
    <w:p w14:paraId="34BFA449">
      <w:pPr>
        <w:jc w:val="center"/>
        <w:rPr>
          <w:rFonts w:ascii="宋体" w:hAnsi="宋体" w:cs="宋体"/>
          <w:color w:val="auto"/>
          <w:sz w:val="28"/>
          <w:szCs w:val="28"/>
        </w:rPr>
      </w:pPr>
    </w:p>
    <w:p w14:paraId="4F065518">
      <w:pPr>
        <w:jc w:val="center"/>
        <w:rPr>
          <w:rFonts w:ascii="宋体" w:hAnsi="宋体" w:cs="宋体"/>
          <w:color w:val="auto"/>
          <w:sz w:val="28"/>
          <w:szCs w:val="28"/>
        </w:rPr>
      </w:pPr>
    </w:p>
    <w:p w14:paraId="37DE487D">
      <w:pPr>
        <w:rPr>
          <w:rFonts w:ascii="宋体" w:hAnsi="宋体" w:cs="宋体"/>
          <w:color w:val="auto"/>
          <w:sz w:val="28"/>
          <w:szCs w:val="28"/>
        </w:rPr>
      </w:pPr>
    </w:p>
    <w:p w14:paraId="4F7A56B9">
      <w:pPr>
        <w:rPr>
          <w:rFonts w:ascii="宋体" w:hAnsi="宋体" w:cs="宋体"/>
          <w:color w:val="auto"/>
          <w:sz w:val="28"/>
          <w:szCs w:val="28"/>
        </w:rPr>
      </w:pPr>
    </w:p>
    <w:p w14:paraId="4ECA5CC2">
      <w:pPr>
        <w:rPr>
          <w:rFonts w:ascii="宋体" w:hAnsi="宋体" w:cs="宋体"/>
          <w:color w:val="auto"/>
          <w:sz w:val="28"/>
          <w:szCs w:val="28"/>
        </w:rPr>
      </w:pPr>
    </w:p>
    <w:p w14:paraId="723D0443">
      <w:pPr>
        <w:pStyle w:val="3"/>
        <w:numPr>
          <w:ilvl w:val="1"/>
          <w:numId w:val="0"/>
        </w:numPr>
        <w:rPr>
          <w:color w:val="auto"/>
        </w:rPr>
      </w:pPr>
    </w:p>
    <w:p w14:paraId="098B1BEB">
      <w:pPr>
        <w:rPr>
          <w:color w:val="auto"/>
        </w:rPr>
      </w:pPr>
    </w:p>
    <w:p w14:paraId="7A9E7517">
      <w:pPr>
        <w:pStyle w:val="3"/>
        <w:numPr>
          <w:ilvl w:val="1"/>
          <w:numId w:val="0"/>
        </w:numPr>
        <w:rPr>
          <w:color w:val="auto"/>
        </w:rPr>
      </w:pPr>
    </w:p>
    <w:p w14:paraId="666FEB71">
      <w:pPr>
        <w:rPr>
          <w:rFonts w:ascii="宋体" w:hAnsi="宋体" w:cs="宋体"/>
          <w:color w:val="auto"/>
          <w:sz w:val="28"/>
          <w:szCs w:val="28"/>
        </w:rPr>
      </w:pPr>
    </w:p>
    <w:p w14:paraId="108A1951">
      <w:pPr>
        <w:jc w:val="center"/>
        <w:rPr>
          <w:rFonts w:ascii="宋体" w:hAnsi="宋体" w:cs="宋体"/>
          <w:color w:val="auto"/>
          <w:sz w:val="28"/>
          <w:szCs w:val="28"/>
          <w:u w:val="single"/>
        </w:rPr>
      </w:pPr>
      <w:r>
        <w:rPr>
          <w:rFonts w:hint="eastAsia" w:ascii="宋体" w:hAnsi="宋体" w:cs="宋体"/>
          <w:color w:val="auto"/>
          <w:sz w:val="28"/>
          <w:szCs w:val="28"/>
        </w:rPr>
        <w:t>投标人：</w:t>
      </w:r>
      <w:r>
        <w:rPr>
          <w:rFonts w:hint="eastAsia" w:ascii="宋体" w:hAnsi="宋体" w:cs="宋体"/>
          <w:color w:val="auto"/>
          <w:sz w:val="28"/>
          <w:szCs w:val="28"/>
          <w:u w:val="single"/>
        </w:rPr>
        <w:t xml:space="preserve">                              </w:t>
      </w:r>
      <w:r>
        <w:rPr>
          <w:rFonts w:hint="eastAsia" w:ascii="宋体" w:hAnsi="宋体" w:cs="宋体"/>
          <w:color w:val="auto"/>
          <w:sz w:val="28"/>
          <w:szCs w:val="28"/>
        </w:rPr>
        <w:t>（盖章）</w:t>
      </w:r>
    </w:p>
    <w:p w14:paraId="0091B162">
      <w:pPr>
        <w:jc w:val="center"/>
        <w:rPr>
          <w:rFonts w:ascii="宋体" w:hAnsi="宋体" w:cs="宋体"/>
          <w:color w:val="auto"/>
          <w:sz w:val="28"/>
          <w:szCs w:val="28"/>
        </w:rPr>
      </w:pPr>
      <w:r>
        <w:rPr>
          <w:rFonts w:hint="eastAsia" w:ascii="宋体" w:hAnsi="宋体" w:cs="宋体"/>
          <w:color w:val="auto"/>
          <w:sz w:val="28"/>
          <w:szCs w:val="28"/>
        </w:rPr>
        <w:t>法定代表人：</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（签字或盖章）</w:t>
      </w:r>
    </w:p>
    <w:p w14:paraId="377C9764">
      <w:pPr>
        <w:jc w:val="center"/>
        <w:rPr>
          <w:rFonts w:ascii="宋体" w:hAnsi="宋体" w:cs="宋体"/>
          <w:color w:val="auto"/>
          <w:sz w:val="28"/>
          <w:szCs w:val="28"/>
        </w:rPr>
      </w:pP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p w14:paraId="68A1C3FB">
      <w:pPr>
        <w:spacing w:line="400" w:lineRule="exact"/>
        <w:ind w:firstLine="1971" w:firstLineChars="935"/>
        <w:rPr>
          <w:rFonts w:ascii="宋体" w:hAnsi="宋体" w:cs="宋体"/>
          <w:b/>
          <w:color w:val="auto"/>
          <w:szCs w:val="21"/>
        </w:rPr>
      </w:pPr>
      <w:r>
        <w:rPr>
          <w:rFonts w:hint="eastAsia" w:ascii="宋体" w:hAnsi="宋体" w:cs="宋体"/>
          <w:b/>
          <w:color w:val="auto"/>
          <w:szCs w:val="21"/>
        </w:rPr>
        <w:t xml:space="preserve">  </w:t>
      </w:r>
    </w:p>
    <w:p w14:paraId="15034E7F">
      <w:pPr>
        <w:spacing w:line="600" w:lineRule="exact"/>
        <w:jc w:val="center"/>
        <w:rPr>
          <w:rFonts w:ascii="宋体" w:hAnsi="宋体" w:cs="宋体"/>
          <w:b/>
          <w:color w:val="auto"/>
          <w:szCs w:val="21"/>
        </w:rPr>
      </w:pPr>
    </w:p>
    <w:p w14:paraId="7D404228">
      <w:pPr>
        <w:pStyle w:val="39"/>
        <w:ind w:left="0" w:leftChars="0" w:firstLine="420"/>
        <w:rPr>
          <w:color w:val="auto"/>
        </w:rPr>
      </w:pPr>
    </w:p>
    <w:p w14:paraId="0F963891">
      <w:pPr>
        <w:rPr>
          <w:color w:val="auto"/>
        </w:rPr>
      </w:pPr>
    </w:p>
    <w:p w14:paraId="2604CE44">
      <w:pPr>
        <w:pStyle w:val="39"/>
        <w:ind w:firstLine="420"/>
        <w:rPr>
          <w:color w:val="auto"/>
        </w:rPr>
      </w:pPr>
    </w:p>
    <w:p w14:paraId="3D06A594">
      <w:pPr>
        <w:rPr>
          <w:color w:val="auto"/>
        </w:rPr>
      </w:pPr>
    </w:p>
    <w:p w14:paraId="325CAC0D">
      <w:pPr>
        <w:spacing w:line="600" w:lineRule="exact"/>
        <w:jc w:val="center"/>
        <w:rPr>
          <w:rFonts w:ascii="宋体" w:hAnsi="宋体" w:cs="宋体"/>
          <w:b/>
          <w:color w:val="auto"/>
          <w:sz w:val="30"/>
          <w:szCs w:val="30"/>
        </w:rPr>
      </w:pPr>
      <w:r>
        <w:rPr>
          <w:rFonts w:hint="eastAsia" w:ascii="宋体" w:hAnsi="宋体" w:cs="宋体"/>
          <w:b/>
          <w:color w:val="auto"/>
          <w:sz w:val="30"/>
          <w:szCs w:val="30"/>
        </w:rPr>
        <w:t>目   录</w:t>
      </w:r>
    </w:p>
    <w:p w14:paraId="61422D4B">
      <w:pPr>
        <w:spacing w:line="400" w:lineRule="exact"/>
        <w:ind w:firstLine="2253" w:firstLineChars="935"/>
        <w:rPr>
          <w:rFonts w:ascii="宋体" w:hAnsi="宋体" w:cs="宋体"/>
          <w:b/>
          <w:color w:val="auto"/>
          <w:sz w:val="24"/>
          <w:szCs w:val="24"/>
        </w:rPr>
      </w:pPr>
    </w:p>
    <w:p w14:paraId="0E4DC9A3">
      <w:pPr>
        <w:spacing w:line="360" w:lineRule="auto"/>
        <w:rPr>
          <w:rFonts w:ascii="宋体" w:hAnsi="宋体" w:cs="宋体"/>
          <w:color w:val="auto"/>
          <w:szCs w:val="21"/>
        </w:rPr>
      </w:pPr>
      <w:r>
        <w:rPr>
          <w:rFonts w:hint="eastAsia" w:ascii="宋体" w:hAnsi="宋体" w:cs="宋体"/>
          <w:color w:val="auto"/>
          <w:szCs w:val="21"/>
        </w:rPr>
        <w:t>（1）开标一览表（格式见附件）；</w:t>
      </w:r>
    </w:p>
    <w:p w14:paraId="6A71040A">
      <w:pPr>
        <w:spacing w:line="360" w:lineRule="auto"/>
        <w:rPr>
          <w:rFonts w:ascii="宋体" w:hAnsi="宋体" w:cs="宋体"/>
          <w:color w:val="auto"/>
          <w:szCs w:val="21"/>
        </w:rPr>
      </w:pPr>
      <w:r>
        <w:rPr>
          <w:rFonts w:hint="eastAsia" w:ascii="宋体" w:hAnsi="宋体" w:cs="宋体"/>
          <w:color w:val="auto"/>
          <w:szCs w:val="21"/>
        </w:rPr>
        <w:t>（2）投标函（格式见附件）；</w:t>
      </w:r>
    </w:p>
    <w:p w14:paraId="400A51B7">
      <w:pPr>
        <w:spacing w:line="360" w:lineRule="auto"/>
        <w:rPr>
          <w:rFonts w:ascii="宋体" w:hAnsi="宋体" w:cs="宋体"/>
          <w:color w:val="auto"/>
          <w:szCs w:val="21"/>
        </w:rPr>
      </w:pPr>
      <w:r>
        <w:rPr>
          <w:rFonts w:hint="eastAsia" w:ascii="宋体" w:hAnsi="宋体" w:cs="宋体"/>
          <w:color w:val="auto"/>
          <w:szCs w:val="21"/>
        </w:rPr>
        <w:t>（3）招标文件商务评审中要求提供的其他相关资料；</w:t>
      </w:r>
    </w:p>
    <w:p w14:paraId="1AC71821">
      <w:pPr>
        <w:spacing w:line="400" w:lineRule="exact"/>
        <w:ind w:firstLine="422" w:firstLineChars="200"/>
        <w:rPr>
          <w:rFonts w:ascii="宋体" w:hAnsi="宋体" w:cs="宋体"/>
          <w:b/>
          <w:color w:val="auto"/>
          <w:szCs w:val="21"/>
        </w:rPr>
      </w:pPr>
    </w:p>
    <w:p w14:paraId="3A0B10F1">
      <w:pPr>
        <w:rPr>
          <w:rFonts w:ascii="宋体" w:hAnsi="宋体" w:cs="宋体"/>
          <w:color w:val="auto"/>
          <w:szCs w:val="21"/>
        </w:rPr>
      </w:pPr>
    </w:p>
    <w:p w14:paraId="72FD8594">
      <w:pPr>
        <w:jc w:val="center"/>
        <w:rPr>
          <w:rFonts w:ascii="宋体" w:hAnsi="宋体" w:cs="宋体"/>
          <w:b/>
          <w:color w:val="auto"/>
          <w:szCs w:val="21"/>
        </w:rPr>
      </w:pPr>
    </w:p>
    <w:p w14:paraId="220CA7FB">
      <w:pPr>
        <w:rPr>
          <w:rFonts w:ascii="宋体" w:hAnsi="宋体" w:cs="宋体"/>
          <w:b/>
          <w:bCs/>
          <w:color w:val="auto"/>
          <w:szCs w:val="21"/>
        </w:rPr>
      </w:pPr>
    </w:p>
    <w:p w14:paraId="700004F0">
      <w:pPr>
        <w:jc w:val="center"/>
        <w:rPr>
          <w:rFonts w:ascii="宋体" w:hAnsi="宋体" w:cs="宋体"/>
          <w:b/>
          <w:bCs/>
          <w:color w:val="auto"/>
          <w:szCs w:val="21"/>
        </w:rPr>
      </w:pPr>
    </w:p>
    <w:p w14:paraId="7FAFF859">
      <w:pPr>
        <w:jc w:val="center"/>
        <w:rPr>
          <w:rFonts w:ascii="宋体" w:hAnsi="宋体" w:cs="宋体"/>
          <w:b/>
          <w:color w:val="auto"/>
          <w:szCs w:val="21"/>
        </w:rPr>
      </w:pPr>
    </w:p>
    <w:p w14:paraId="7C4464AD">
      <w:pPr>
        <w:widowControl w:val="0"/>
        <w:snapToGrid w:val="0"/>
        <w:spacing w:line="460" w:lineRule="exact"/>
        <w:ind w:firstLine="632" w:firstLineChars="300"/>
        <w:rPr>
          <w:rFonts w:ascii="宋体" w:hAnsi="宋体" w:cs="宋体"/>
          <w:b/>
          <w:color w:val="auto"/>
          <w:szCs w:val="21"/>
        </w:rPr>
      </w:pPr>
    </w:p>
    <w:p w14:paraId="21505D2B">
      <w:pPr>
        <w:widowControl w:val="0"/>
        <w:snapToGrid w:val="0"/>
        <w:spacing w:line="460" w:lineRule="exact"/>
        <w:ind w:firstLine="632" w:firstLineChars="300"/>
        <w:rPr>
          <w:rFonts w:ascii="宋体" w:hAnsi="宋体" w:cs="宋体"/>
          <w:b/>
          <w:color w:val="auto"/>
          <w:szCs w:val="21"/>
        </w:rPr>
      </w:pPr>
    </w:p>
    <w:p w14:paraId="68ABC3C8">
      <w:pPr>
        <w:widowControl w:val="0"/>
        <w:snapToGrid w:val="0"/>
        <w:spacing w:line="460" w:lineRule="exact"/>
        <w:ind w:firstLine="632" w:firstLineChars="300"/>
        <w:rPr>
          <w:rFonts w:ascii="宋体" w:hAnsi="宋体" w:cs="宋体"/>
          <w:b/>
          <w:color w:val="auto"/>
          <w:szCs w:val="21"/>
        </w:rPr>
      </w:pPr>
    </w:p>
    <w:p w14:paraId="051C3712">
      <w:pPr>
        <w:widowControl w:val="0"/>
        <w:snapToGrid w:val="0"/>
        <w:spacing w:line="460" w:lineRule="exact"/>
        <w:ind w:firstLine="632" w:firstLineChars="300"/>
        <w:rPr>
          <w:rFonts w:ascii="宋体" w:hAnsi="宋体" w:cs="宋体"/>
          <w:b/>
          <w:color w:val="auto"/>
          <w:szCs w:val="21"/>
        </w:rPr>
      </w:pPr>
    </w:p>
    <w:p w14:paraId="30429F4D">
      <w:pPr>
        <w:widowControl w:val="0"/>
        <w:snapToGrid w:val="0"/>
        <w:spacing w:line="460" w:lineRule="exact"/>
        <w:ind w:firstLine="632" w:firstLineChars="300"/>
        <w:rPr>
          <w:rFonts w:ascii="宋体" w:hAnsi="宋体" w:cs="宋体"/>
          <w:b/>
          <w:color w:val="auto"/>
          <w:szCs w:val="21"/>
        </w:rPr>
      </w:pPr>
    </w:p>
    <w:p w14:paraId="5F27594B">
      <w:pPr>
        <w:widowControl w:val="0"/>
        <w:snapToGrid w:val="0"/>
        <w:spacing w:line="460" w:lineRule="exact"/>
        <w:ind w:firstLine="632" w:firstLineChars="300"/>
        <w:rPr>
          <w:rFonts w:ascii="宋体" w:hAnsi="宋体" w:cs="宋体"/>
          <w:b/>
          <w:color w:val="auto"/>
          <w:szCs w:val="21"/>
        </w:rPr>
      </w:pPr>
    </w:p>
    <w:p w14:paraId="2B411F9F">
      <w:pPr>
        <w:widowControl w:val="0"/>
        <w:snapToGrid w:val="0"/>
        <w:spacing w:line="460" w:lineRule="exact"/>
        <w:ind w:firstLine="632" w:firstLineChars="300"/>
        <w:rPr>
          <w:rFonts w:ascii="宋体" w:hAnsi="宋体" w:cs="宋体"/>
          <w:b/>
          <w:color w:val="auto"/>
          <w:szCs w:val="21"/>
        </w:rPr>
      </w:pPr>
    </w:p>
    <w:p w14:paraId="1B463111">
      <w:pPr>
        <w:widowControl w:val="0"/>
        <w:snapToGrid w:val="0"/>
        <w:spacing w:line="460" w:lineRule="exact"/>
        <w:ind w:firstLine="632" w:firstLineChars="300"/>
        <w:rPr>
          <w:rFonts w:ascii="宋体" w:hAnsi="宋体" w:cs="宋体"/>
          <w:b/>
          <w:color w:val="auto"/>
          <w:szCs w:val="21"/>
        </w:rPr>
      </w:pPr>
    </w:p>
    <w:p w14:paraId="4450B5E9">
      <w:pPr>
        <w:widowControl w:val="0"/>
        <w:snapToGrid w:val="0"/>
        <w:spacing w:line="460" w:lineRule="exact"/>
        <w:ind w:firstLine="632" w:firstLineChars="300"/>
        <w:rPr>
          <w:rFonts w:ascii="宋体" w:hAnsi="宋体" w:cs="宋体"/>
          <w:b/>
          <w:color w:val="auto"/>
          <w:szCs w:val="21"/>
        </w:rPr>
      </w:pPr>
    </w:p>
    <w:p w14:paraId="31FD049D">
      <w:pPr>
        <w:widowControl w:val="0"/>
        <w:snapToGrid w:val="0"/>
        <w:spacing w:line="460" w:lineRule="exact"/>
        <w:ind w:firstLine="632" w:firstLineChars="300"/>
        <w:rPr>
          <w:rFonts w:ascii="宋体" w:hAnsi="宋体" w:cs="宋体"/>
          <w:b/>
          <w:color w:val="auto"/>
          <w:szCs w:val="21"/>
        </w:rPr>
      </w:pPr>
    </w:p>
    <w:p w14:paraId="06D0B3F8">
      <w:pPr>
        <w:widowControl w:val="0"/>
        <w:snapToGrid w:val="0"/>
        <w:spacing w:line="460" w:lineRule="exact"/>
        <w:ind w:firstLine="632" w:firstLineChars="300"/>
        <w:rPr>
          <w:rFonts w:ascii="宋体" w:hAnsi="宋体" w:cs="宋体"/>
          <w:b/>
          <w:color w:val="auto"/>
          <w:szCs w:val="21"/>
        </w:rPr>
      </w:pPr>
    </w:p>
    <w:p w14:paraId="338388EB">
      <w:pPr>
        <w:pStyle w:val="39"/>
        <w:ind w:left="0" w:leftChars="0" w:firstLine="0" w:firstLineChars="0"/>
        <w:rPr>
          <w:rFonts w:hAnsi="宋体" w:cs="宋体"/>
          <w:color w:val="auto"/>
        </w:rPr>
      </w:pPr>
    </w:p>
    <w:p w14:paraId="48839903">
      <w:pPr>
        <w:widowControl w:val="0"/>
        <w:snapToGrid w:val="0"/>
        <w:spacing w:line="460" w:lineRule="exact"/>
        <w:rPr>
          <w:rFonts w:ascii="宋体" w:hAnsi="宋体" w:cs="宋体"/>
          <w:b/>
          <w:color w:val="auto"/>
          <w:szCs w:val="21"/>
        </w:rPr>
      </w:pPr>
    </w:p>
    <w:p w14:paraId="6404220F">
      <w:pPr>
        <w:pStyle w:val="302"/>
        <w:ind w:left="0"/>
        <w:rPr>
          <w:rFonts w:ascii="宋体" w:hAnsi="宋体" w:cs="宋体"/>
        </w:rPr>
      </w:pPr>
    </w:p>
    <w:p w14:paraId="3C444D58">
      <w:pPr>
        <w:pStyle w:val="302"/>
        <w:ind w:left="0"/>
        <w:rPr>
          <w:rFonts w:ascii="宋体" w:hAnsi="宋体" w:cs="宋体"/>
        </w:rPr>
      </w:pPr>
    </w:p>
    <w:p w14:paraId="5947F994">
      <w:pPr>
        <w:pStyle w:val="302"/>
        <w:ind w:left="0"/>
        <w:rPr>
          <w:rFonts w:ascii="宋体" w:hAnsi="宋体" w:cs="宋体"/>
        </w:rPr>
      </w:pPr>
    </w:p>
    <w:p w14:paraId="70AECC1A">
      <w:pPr>
        <w:spacing w:line="360" w:lineRule="exact"/>
        <w:rPr>
          <w:rFonts w:ascii="宋体" w:hAnsi="宋体" w:cs="宋体"/>
          <w:b/>
          <w:color w:val="auto"/>
          <w:szCs w:val="21"/>
        </w:rPr>
      </w:pPr>
      <w:bookmarkStart w:id="120" w:name="OLE_LINK41"/>
      <w:bookmarkStart w:id="121" w:name="OLE_LINK42"/>
      <w:r>
        <w:rPr>
          <w:rFonts w:hint="eastAsia" w:ascii="宋体" w:hAnsi="宋体" w:cs="宋体"/>
          <w:b/>
          <w:color w:val="auto"/>
          <w:szCs w:val="21"/>
        </w:rPr>
        <w:br w:type="page"/>
      </w:r>
      <w:r>
        <w:rPr>
          <w:rFonts w:hint="eastAsia" w:ascii="宋体" w:hAnsi="宋体" w:cs="宋体"/>
          <w:b/>
          <w:color w:val="auto"/>
          <w:sz w:val="28"/>
          <w:szCs w:val="28"/>
        </w:rPr>
        <w:t>附件1</w:t>
      </w:r>
    </w:p>
    <w:p w14:paraId="2A6F8249">
      <w:pPr>
        <w:spacing w:beforeLines="50" w:afterLines="50" w:line="440" w:lineRule="exact"/>
        <w:jc w:val="center"/>
        <w:rPr>
          <w:rFonts w:ascii="宋体" w:hAnsi="宋体" w:cs="宋体"/>
          <w:b/>
          <w:color w:val="auto"/>
          <w:sz w:val="32"/>
          <w:szCs w:val="32"/>
        </w:rPr>
      </w:pPr>
    </w:p>
    <w:p w14:paraId="2785B4E2">
      <w:pPr>
        <w:spacing w:beforeLines="50" w:afterLines="50" w:line="440" w:lineRule="exact"/>
        <w:jc w:val="center"/>
        <w:rPr>
          <w:rFonts w:ascii="宋体" w:hAnsi="宋体" w:cs="宋体"/>
          <w:b/>
          <w:color w:val="auto"/>
          <w:sz w:val="32"/>
          <w:szCs w:val="32"/>
        </w:rPr>
      </w:pPr>
      <w:r>
        <w:rPr>
          <w:rFonts w:hint="eastAsia" w:ascii="宋体" w:hAnsi="宋体" w:cs="宋体"/>
          <w:b/>
          <w:color w:val="auto"/>
          <w:sz w:val="32"/>
          <w:szCs w:val="32"/>
        </w:rPr>
        <w:t>开标一览表</w:t>
      </w:r>
    </w:p>
    <w:p w14:paraId="6CEF6C62">
      <w:pPr>
        <w:spacing w:line="360" w:lineRule="exact"/>
        <w:ind w:firstLine="310" w:firstLineChars="147"/>
        <w:rPr>
          <w:rFonts w:ascii="宋体" w:hAnsi="宋体" w:cs="宋体"/>
          <w:b/>
          <w:color w:val="auto"/>
          <w:szCs w:val="21"/>
        </w:rPr>
      </w:pPr>
    </w:p>
    <w:tbl>
      <w:tblPr>
        <w:tblStyle w:val="4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7797"/>
      </w:tblGrid>
      <w:tr w14:paraId="01E78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8" w:hRule="exact"/>
        </w:trPr>
        <w:tc>
          <w:tcPr>
            <w:tcW w:w="1803" w:type="dxa"/>
            <w:tcBorders>
              <w:top w:val="single" w:color="auto" w:sz="12" w:space="0"/>
              <w:bottom w:val="single" w:color="auto" w:sz="12" w:space="0"/>
              <w:right w:val="single" w:color="auto" w:sz="12" w:space="0"/>
            </w:tcBorders>
            <w:vAlign w:val="center"/>
          </w:tcPr>
          <w:p w14:paraId="69F4B0CE">
            <w:pPr>
              <w:spacing w:line="460" w:lineRule="exact"/>
              <w:jc w:val="center"/>
              <w:rPr>
                <w:rFonts w:ascii="宋体" w:hAnsi="宋体" w:cs="宋体"/>
                <w:color w:val="auto"/>
                <w:szCs w:val="21"/>
              </w:rPr>
            </w:pPr>
            <w:r>
              <w:rPr>
                <w:rFonts w:hint="eastAsia" w:ascii="宋体" w:hAnsi="宋体" w:cs="宋体"/>
                <w:color w:val="auto"/>
                <w:szCs w:val="21"/>
              </w:rPr>
              <w:t>项目名称</w:t>
            </w:r>
          </w:p>
        </w:tc>
        <w:tc>
          <w:tcPr>
            <w:tcW w:w="7797" w:type="dxa"/>
            <w:tcBorders>
              <w:top w:val="single" w:color="auto" w:sz="12" w:space="0"/>
              <w:left w:val="single" w:color="auto" w:sz="12" w:space="0"/>
              <w:bottom w:val="single" w:color="auto" w:sz="12" w:space="0"/>
            </w:tcBorders>
            <w:vAlign w:val="center"/>
          </w:tcPr>
          <w:p w14:paraId="7A737A2C">
            <w:pPr>
              <w:spacing w:line="360" w:lineRule="auto"/>
              <w:jc w:val="left"/>
              <w:rPr>
                <w:rFonts w:ascii="宋体" w:hAnsi="宋体" w:cs="宋体"/>
                <w:color w:val="auto"/>
                <w:szCs w:val="21"/>
              </w:rPr>
            </w:pPr>
            <w:r>
              <w:rPr>
                <w:rFonts w:hint="eastAsia" w:ascii="宋体" w:hAnsi="宋体" w:cs="宋体"/>
                <w:color w:val="auto"/>
                <w:szCs w:val="21"/>
              </w:rPr>
              <w:t xml:space="preserve">         </w:t>
            </w:r>
          </w:p>
        </w:tc>
      </w:tr>
      <w:tr w14:paraId="5B0F8C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3" w:hRule="exact"/>
        </w:trPr>
        <w:tc>
          <w:tcPr>
            <w:tcW w:w="1803" w:type="dxa"/>
            <w:tcBorders>
              <w:right w:val="single" w:color="auto" w:sz="12" w:space="0"/>
            </w:tcBorders>
            <w:vAlign w:val="center"/>
          </w:tcPr>
          <w:p w14:paraId="64065A27">
            <w:pPr>
              <w:spacing w:line="460" w:lineRule="exact"/>
              <w:ind w:firstLine="105" w:firstLineChars="50"/>
              <w:rPr>
                <w:rFonts w:ascii="宋体" w:hAnsi="宋体" w:cs="宋体"/>
                <w:color w:val="auto"/>
                <w:szCs w:val="21"/>
              </w:rPr>
            </w:pPr>
            <w:r>
              <w:rPr>
                <w:rFonts w:hint="eastAsia" w:ascii="宋体" w:hAnsi="宋体" w:cs="宋体"/>
                <w:color w:val="auto"/>
                <w:szCs w:val="21"/>
              </w:rPr>
              <w:t>投标人名称</w:t>
            </w:r>
          </w:p>
        </w:tc>
        <w:tc>
          <w:tcPr>
            <w:tcW w:w="7797" w:type="dxa"/>
            <w:tcBorders>
              <w:left w:val="single" w:color="auto" w:sz="12" w:space="0"/>
            </w:tcBorders>
          </w:tcPr>
          <w:p w14:paraId="62CB6BDB">
            <w:pPr>
              <w:pStyle w:val="24"/>
              <w:spacing w:line="460" w:lineRule="exact"/>
              <w:rPr>
                <w:rFonts w:ascii="宋体" w:hAnsi="宋体" w:eastAsia="宋体" w:cs="宋体"/>
                <w:color w:val="auto"/>
                <w:sz w:val="21"/>
                <w:szCs w:val="21"/>
              </w:rPr>
            </w:pPr>
          </w:p>
        </w:tc>
      </w:tr>
      <w:tr w14:paraId="5CC20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91" w:hRule="exact"/>
        </w:trPr>
        <w:tc>
          <w:tcPr>
            <w:tcW w:w="1803" w:type="dxa"/>
            <w:tcBorders>
              <w:right w:val="single" w:color="auto" w:sz="12" w:space="0"/>
            </w:tcBorders>
            <w:vAlign w:val="center"/>
          </w:tcPr>
          <w:p w14:paraId="0F8B314B">
            <w:pPr>
              <w:spacing w:line="360" w:lineRule="auto"/>
              <w:jc w:val="center"/>
              <w:rPr>
                <w:rFonts w:ascii="宋体" w:hAnsi="宋体" w:cs="宋体"/>
                <w:color w:val="auto"/>
                <w:szCs w:val="21"/>
              </w:rPr>
            </w:pPr>
            <w:r>
              <w:rPr>
                <w:rFonts w:hint="eastAsia" w:ascii="宋体"/>
                <w:color w:val="auto"/>
                <w:sz w:val="24"/>
              </w:rPr>
              <w:t>总投标价\服务期</w:t>
            </w:r>
          </w:p>
        </w:tc>
        <w:tc>
          <w:tcPr>
            <w:tcW w:w="7797" w:type="dxa"/>
            <w:tcBorders>
              <w:left w:val="single" w:color="auto" w:sz="12" w:space="0"/>
            </w:tcBorders>
            <w:vAlign w:val="center"/>
          </w:tcPr>
          <w:p w14:paraId="2172ABFC">
            <w:pPr>
              <w:spacing w:line="360" w:lineRule="auto"/>
              <w:rPr>
                <w:rFonts w:ascii="宋体"/>
                <w:color w:val="auto"/>
                <w:sz w:val="24"/>
              </w:rPr>
            </w:pPr>
            <w:r>
              <w:rPr>
                <w:rFonts w:hint="eastAsia" w:ascii="宋体"/>
                <w:color w:val="auto"/>
                <w:sz w:val="24"/>
              </w:rPr>
              <w:t>总投标价 （大写）：</w:t>
            </w:r>
            <w:r>
              <w:rPr>
                <w:rFonts w:hint="eastAsia" w:ascii="宋体"/>
                <w:color w:val="auto"/>
                <w:sz w:val="24"/>
                <w:u w:val="single"/>
              </w:rPr>
              <w:t xml:space="preserve">                   </w:t>
            </w:r>
            <w:r>
              <w:rPr>
                <w:rFonts w:hint="eastAsia" w:ascii="宋体"/>
                <w:color w:val="auto"/>
                <w:sz w:val="24"/>
              </w:rPr>
              <w:t>元</w:t>
            </w:r>
          </w:p>
          <w:p w14:paraId="27CF1464">
            <w:pPr>
              <w:spacing w:line="360" w:lineRule="auto"/>
              <w:ind w:firstLine="1080" w:firstLineChars="450"/>
              <w:rPr>
                <w:rFonts w:ascii="宋体"/>
                <w:color w:val="auto"/>
                <w:sz w:val="24"/>
              </w:rPr>
            </w:pPr>
            <w:r>
              <w:rPr>
                <w:rFonts w:hint="eastAsia" w:ascii="宋体"/>
                <w:color w:val="auto"/>
                <w:sz w:val="24"/>
              </w:rPr>
              <w:t>(小写) ：</w:t>
            </w:r>
            <w:r>
              <w:rPr>
                <w:rFonts w:hint="eastAsia" w:ascii="宋体"/>
                <w:color w:val="auto"/>
                <w:sz w:val="24"/>
                <w:u w:val="single"/>
              </w:rPr>
              <w:t xml:space="preserve">                    </w:t>
            </w:r>
            <w:r>
              <w:rPr>
                <w:rFonts w:hint="eastAsia" w:ascii="宋体"/>
                <w:color w:val="auto"/>
                <w:sz w:val="24"/>
              </w:rPr>
              <w:t>元</w:t>
            </w:r>
          </w:p>
          <w:p w14:paraId="1EF8526E">
            <w:pPr>
              <w:pStyle w:val="317"/>
              <w:spacing w:line="440" w:lineRule="exact"/>
              <w:jc w:val="left"/>
              <w:textAlignment w:val="auto"/>
              <w:rPr>
                <w:color w:val="auto"/>
              </w:rPr>
            </w:pPr>
            <w:r>
              <w:rPr>
                <w:rFonts w:hint="eastAsia"/>
                <w:color w:val="auto"/>
                <w:sz w:val="24"/>
              </w:rPr>
              <w:t>服务期：</w:t>
            </w:r>
          </w:p>
          <w:p w14:paraId="4C325DD4">
            <w:pPr>
              <w:pStyle w:val="39"/>
              <w:ind w:left="0" w:leftChars="0" w:firstLine="420"/>
              <w:rPr>
                <w:color w:val="auto"/>
              </w:rPr>
            </w:pPr>
          </w:p>
        </w:tc>
      </w:tr>
    </w:tbl>
    <w:p w14:paraId="5E127C2C">
      <w:pPr>
        <w:widowControl w:val="0"/>
        <w:snapToGrid w:val="0"/>
        <w:spacing w:line="460" w:lineRule="exact"/>
        <w:ind w:firstLine="630" w:firstLineChars="300"/>
        <w:rPr>
          <w:rFonts w:ascii="宋体" w:hAnsi="宋体" w:cs="宋体"/>
          <w:color w:val="auto"/>
          <w:szCs w:val="21"/>
        </w:rPr>
      </w:pPr>
    </w:p>
    <w:p w14:paraId="2DC5CA8B">
      <w:pPr>
        <w:rPr>
          <w:rFonts w:ascii="宋体" w:hAnsi="宋体" w:cs="宋体"/>
          <w:color w:val="auto"/>
          <w:szCs w:val="21"/>
        </w:rPr>
      </w:pPr>
      <w:r>
        <w:rPr>
          <w:rFonts w:hint="eastAsia" w:ascii="宋体" w:hAnsi="宋体" w:cs="宋体"/>
          <w:color w:val="auto"/>
          <w:szCs w:val="21"/>
        </w:rPr>
        <w:t>法定代表人（签字或盖章）：                                 投标人（盖章）：</w:t>
      </w:r>
    </w:p>
    <w:p w14:paraId="1921CD56">
      <w:pPr>
        <w:widowControl w:val="0"/>
        <w:snapToGrid w:val="0"/>
        <w:spacing w:beforeLines="100" w:afterLines="100" w:line="360" w:lineRule="auto"/>
        <w:jc w:val="center"/>
        <w:rPr>
          <w:rFonts w:ascii="宋体" w:hAnsi="宋体" w:cs="宋体"/>
          <w:color w:val="auto"/>
          <w:szCs w:val="21"/>
        </w:rPr>
      </w:pPr>
      <w:r>
        <w:rPr>
          <w:rFonts w:hint="eastAsia" w:ascii="宋体" w:hAnsi="宋体" w:cs="宋体"/>
          <w:color w:val="auto"/>
          <w:szCs w:val="21"/>
        </w:rPr>
        <w:t xml:space="preserve">                                      日  期：    年  月  日 </w:t>
      </w:r>
    </w:p>
    <w:bookmarkEnd w:id="120"/>
    <w:p w14:paraId="61272EF5">
      <w:pPr>
        <w:jc w:val="center"/>
        <w:rPr>
          <w:rFonts w:ascii="宋体" w:hAnsi="宋体" w:cs="宋体"/>
          <w:b/>
          <w:bCs/>
          <w:color w:val="auto"/>
          <w:szCs w:val="21"/>
        </w:rPr>
      </w:pPr>
    </w:p>
    <w:bookmarkEnd w:id="121"/>
    <w:p w14:paraId="2B8A0B33">
      <w:pPr>
        <w:spacing w:line="360" w:lineRule="exact"/>
        <w:rPr>
          <w:rFonts w:ascii="宋体" w:hAnsi="宋体" w:cs="宋体"/>
          <w:b/>
          <w:color w:val="auto"/>
          <w:sz w:val="28"/>
          <w:szCs w:val="28"/>
        </w:rPr>
      </w:pPr>
    </w:p>
    <w:p w14:paraId="442A342C">
      <w:pPr>
        <w:spacing w:line="360" w:lineRule="exact"/>
        <w:rPr>
          <w:rFonts w:ascii="宋体" w:hAnsi="宋体" w:cs="宋体"/>
          <w:b/>
          <w:color w:val="auto"/>
          <w:sz w:val="28"/>
          <w:szCs w:val="28"/>
        </w:rPr>
      </w:pPr>
    </w:p>
    <w:p w14:paraId="3AA9BEF5">
      <w:pPr>
        <w:spacing w:line="360" w:lineRule="exact"/>
        <w:rPr>
          <w:rFonts w:ascii="宋体" w:hAnsi="宋体" w:cs="宋体"/>
          <w:b/>
          <w:color w:val="auto"/>
          <w:sz w:val="28"/>
          <w:szCs w:val="28"/>
        </w:rPr>
      </w:pPr>
    </w:p>
    <w:p w14:paraId="7E074386">
      <w:pPr>
        <w:spacing w:line="360" w:lineRule="exact"/>
        <w:rPr>
          <w:rFonts w:ascii="宋体" w:hAnsi="宋体" w:cs="宋体"/>
          <w:b/>
          <w:color w:val="auto"/>
          <w:sz w:val="32"/>
          <w:szCs w:val="32"/>
        </w:rPr>
      </w:pPr>
      <w:r>
        <w:rPr>
          <w:rFonts w:hint="eastAsia" w:ascii="宋体" w:hAnsi="宋体" w:cs="宋体"/>
          <w:b/>
          <w:color w:val="auto"/>
          <w:sz w:val="28"/>
          <w:szCs w:val="28"/>
        </w:rPr>
        <w:t>附件2</w:t>
      </w:r>
    </w:p>
    <w:p w14:paraId="03DE6EF1">
      <w:pPr>
        <w:spacing w:beforeLines="50" w:afterLines="50" w:line="440" w:lineRule="exact"/>
        <w:jc w:val="center"/>
        <w:rPr>
          <w:rFonts w:ascii="宋体" w:hAnsi="宋体" w:cs="宋体"/>
          <w:b/>
          <w:color w:val="auto"/>
          <w:sz w:val="32"/>
          <w:szCs w:val="32"/>
        </w:rPr>
      </w:pPr>
      <w:r>
        <w:rPr>
          <w:rFonts w:hint="eastAsia" w:ascii="宋体" w:hAnsi="宋体" w:cs="宋体"/>
          <w:b/>
          <w:color w:val="auto"/>
          <w:sz w:val="32"/>
          <w:szCs w:val="32"/>
        </w:rPr>
        <w:t>投  标  函</w:t>
      </w:r>
    </w:p>
    <w:p w14:paraId="704DA204">
      <w:pPr>
        <w:spacing w:line="440" w:lineRule="exact"/>
        <w:rPr>
          <w:rFonts w:ascii="宋体"/>
          <w:color w:val="auto"/>
          <w:sz w:val="24"/>
        </w:rPr>
      </w:pPr>
    </w:p>
    <w:p w14:paraId="22E47175">
      <w:pPr>
        <w:spacing w:line="440" w:lineRule="exact"/>
        <w:rPr>
          <w:rFonts w:ascii="宋体"/>
          <w:color w:val="auto"/>
          <w:sz w:val="24"/>
        </w:rPr>
      </w:pPr>
      <w:r>
        <w:rPr>
          <w:rFonts w:hint="eastAsia" w:ascii="宋体"/>
          <w:color w:val="auto"/>
          <w:sz w:val="24"/>
        </w:rPr>
        <w:t>致：</w:t>
      </w:r>
      <w:r>
        <w:rPr>
          <w:rFonts w:hint="eastAsia" w:ascii="宋体"/>
          <w:color w:val="auto"/>
          <w:sz w:val="24"/>
          <w:u w:val="single"/>
        </w:rPr>
        <w:t xml:space="preserve">       (采购人)       </w:t>
      </w:r>
      <w:r>
        <w:rPr>
          <w:rFonts w:hint="eastAsia" w:ascii="宋体"/>
          <w:color w:val="auto"/>
          <w:sz w:val="24"/>
        </w:rPr>
        <w:t xml:space="preserve"> </w:t>
      </w:r>
    </w:p>
    <w:p w14:paraId="3EB62BBA">
      <w:pPr>
        <w:spacing w:line="440" w:lineRule="exact"/>
        <w:ind w:firstLine="480" w:firstLineChars="200"/>
        <w:rPr>
          <w:rFonts w:ascii="宋体"/>
          <w:color w:val="auto"/>
          <w:sz w:val="24"/>
        </w:rPr>
      </w:pPr>
      <w:r>
        <w:rPr>
          <w:rFonts w:hint="eastAsia" w:ascii="宋体"/>
          <w:color w:val="auto"/>
          <w:sz w:val="24"/>
        </w:rPr>
        <w:t>1.我们决定参加贵单位组织的“</w:t>
      </w:r>
      <w:r>
        <w:rPr>
          <w:rFonts w:hint="eastAsia" w:ascii="宋体"/>
          <w:color w:val="auto"/>
          <w:sz w:val="24"/>
          <w:u w:val="single"/>
        </w:rPr>
        <w:t xml:space="preserve"> （项目名称）    </w:t>
      </w:r>
      <w:r>
        <w:rPr>
          <w:rFonts w:hint="eastAsia" w:ascii="宋体"/>
          <w:color w:val="auto"/>
          <w:sz w:val="24"/>
        </w:rPr>
        <w:t xml:space="preserve">”的采购。我方授权 </w:t>
      </w:r>
      <w:r>
        <w:rPr>
          <w:rFonts w:hint="eastAsia" w:ascii="宋体"/>
          <w:color w:val="auto"/>
          <w:sz w:val="24"/>
          <w:u w:val="single"/>
        </w:rPr>
        <w:t xml:space="preserve">              </w:t>
      </w:r>
      <w:r>
        <w:rPr>
          <w:rFonts w:hint="eastAsia" w:ascii="宋体"/>
          <w:color w:val="auto"/>
          <w:sz w:val="24"/>
        </w:rPr>
        <w:t>(姓名和职务)代表我方</w:t>
      </w:r>
      <w:r>
        <w:rPr>
          <w:rFonts w:hint="eastAsia" w:ascii="宋体"/>
          <w:color w:val="auto"/>
          <w:sz w:val="24"/>
          <w:u w:val="single"/>
        </w:rPr>
        <w:t xml:space="preserve">               </w:t>
      </w:r>
      <w:r>
        <w:rPr>
          <w:rFonts w:hint="eastAsia" w:ascii="宋体"/>
          <w:color w:val="auto"/>
          <w:sz w:val="24"/>
        </w:rPr>
        <w:t>（供应商的名称）全权处理本项目投标的有关事宜。</w:t>
      </w:r>
    </w:p>
    <w:p w14:paraId="465A844E">
      <w:pPr>
        <w:spacing w:line="440" w:lineRule="exact"/>
        <w:ind w:firstLine="480" w:firstLineChars="200"/>
        <w:rPr>
          <w:rFonts w:ascii="宋体"/>
          <w:color w:val="auto"/>
          <w:sz w:val="24"/>
          <w:u w:val="single"/>
        </w:rPr>
      </w:pPr>
      <w:r>
        <w:rPr>
          <w:rFonts w:hint="eastAsia" w:ascii="宋体"/>
          <w:color w:val="auto"/>
          <w:sz w:val="24"/>
        </w:rPr>
        <w:t xml:space="preserve">2.我方愿意按照招标文件规定的各项要求，向采购人提供“ </w:t>
      </w:r>
      <w:r>
        <w:rPr>
          <w:rFonts w:hint="eastAsia" w:ascii="宋体"/>
          <w:color w:val="auto"/>
          <w:sz w:val="24"/>
          <w:u w:val="single"/>
        </w:rPr>
        <w:t xml:space="preserve">     </w:t>
      </w:r>
      <w:r>
        <w:rPr>
          <w:rFonts w:hint="eastAsia" w:ascii="宋体"/>
          <w:color w:val="auto"/>
          <w:sz w:val="24"/>
        </w:rPr>
        <w:t>”项目的服务，总投标价为人民币（大写）</w:t>
      </w:r>
      <w:r>
        <w:rPr>
          <w:rFonts w:hint="eastAsia" w:ascii="宋体"/>
          <w:color w:val="auto"/>
          <w:sz w:val="24"/>
          <w:u w:val="single"/>
        </w:rPr>
        <w:t xml:space="preserve">                  </w:t>
      </w:r>
      <w:r>
        <w:rPr>
          <w:rFonts w:hint="eastAsia" w:ascii="宋体"/>
          <w:color w:val="auto"/>
          <w:sz w:val="24"/>
        </w:rPr>
        <w:t xml:space="preserve"> ；服务期 ：</w:t>
      </w:r>
      <w:r>
        <w:rPr>
          <w:rFonts w:hint="eastAsia" w:ascii="宋体"/>
          <w:color w:val="auto"/>
          <w:sz w:val="24"/>
          <w:u w:val="single"/>
        </w:rPr>
        <w:t xml:space="preserve">                     。</w:t>
      </w:r>
    </w:p>
    <w:p w14:paraId="496889EB">
      <w:pPr>
        <w:spacing w:line="440" w:lineRule="exact"/>
        <w:ind w:firstLine="480" w:firstLineChars="200"/>
        <w:rPr>
          <w:rFonts w:ascii="宋体"/>
          <w:color w:val="auto"/>
          <w:sz w:val="24"/>
        </w:rPr>
      </w:pPr>
      <w:r>
        <w:rPr>
          <w:rFonts w:hint="eastAsia" w:ascii="宋体"/>
          <w:color w:val="auto"/>
          <w:sz w:val="24"/>
        </w:rPr>
        <w:t>3.一旦我方成为合同签字人，我方将严格履行合同规定的责任和义务。</w:t>
      </w:r>
    </w:p>
    <w:p w14:paraId="6EEEB833">
      <w:pPr>
        <w:spacing w:line="440" w:lineRule="exact"/>
        <w:ind w:firstLine="480" w:firstLineChars="200"/>
        <w:rPr>
          <w:rFonts w:ascii="宋体"/>
          <w:color w:val="auto"/>
          <w:sz w:val="24"/>
        </w:rPr>
      </w:pPr>
      <w:r>
        <w:rPr>
          <w:rFonts w:hint="eastAsia" w:ascii="宋体"/>
          <w:color w:val="auto"/>
          <w:sz w:val="24"/>
        </w:rPr>
        <w:t>4.我方愿意提供可能另外要求的、与采购投标有关的文件资料，并保证我方已提供和将要提供的文件是真实的、准确的。</w:t>
      </w:r>
    </w:p>
    <w:p w14:paraId="45865C82">
      <w:pPr>
        <w:spacing w:line="440" w:lineRule="exact"/>
        <w:ind w:firstLine="480" w:firstLineChars="200"/>
        <w:rPr>
          <w:rFonts w:ascii="宋体"/>
          <w:color w:val="auto"/>
          <w:sz w:val="24"/>
        </w:rPr>
      </w:pPr>
      <w:r>
        <w:rPr>
          <w:rFonts w:hint="eastAsia" w:ascii="宋体"/>
          <w:color w:val="auto"/>
          <w:sz w:val="24"/>
        </w:rPr>
        <w:t>5、我单位提供如下通讯地址</w:t>
      </w:r>
      <w:r>
        <w:rPr>
          <w:rFonts w:hint="eastAsia" w:ascii="宋体"/>
          <w:color w:val="auto"/>
          <w:sz w:val="24"/>
          <w:u w:val="single"/>
        </w:rPr>
        <w:t xml:space="preserve">：                </w:t>
      </w:r>
      <w:r>
        <w:rPr>
          <w:rFonts w:hint="eastAsia" w:ascii="宋体"/>
          <w:color w:val="auto"/>
          <w:sz w:val="24"/>
        </w:rPr>
        <w:t>邮箱（地址），确认本项目相关法律文书均通过提供的以上地址送达，相关文书只要发送至以上邮箱（地址）即视为送达，供应商愿意承担一切法律后果。</w:t>
      </w:r>
    </w:p>
    <w:p w14:paraId="2BE750E3">
      <w:pPr>
        <w:spacing w:line="440" w:lineRule="exact"/>
        <w:rPr>
          <w:rFonts w:ascii="宋体"/>
          <w:color w:val="auto"/>
          <w:sz w:val="24"/>
        </w:rPr>
      </w:pPr>
      <w:r>
        <w:rPr>
          <w:rFonts w:hint="eastAsia" w:ascii="宋体"/>
          <w:color w:val="auto"/>
          <w:sz w:val="24"/>
        </w:rPr>
        <w:t> </w:t>
      </w:r>
    </w:p>
    <w:p w14:paraId="0B9C6C9E">
      <w:pPr>
        <w:spacing w:line="440" w:lineRule="exact"/>
        <w:rPr>
          <w:rFonts w:ascii="宋体"/>
          <w:color w:val="auto"/>
          <w:sz w:val="24"/>
        </w:rPr>
      </w:pPr>
      <w:r>
        <w:rPr>
          <w:rFonts w:hint="eastAsia" w:ascii="宋体"/>
          <w:color w:val="auto"/>
          <w:sz w:val="24"/>
        </w:rPr>
        <w:t>供应商名称：</w:t>
      </w:r>
      <w:r>
        <w:rPr>
          <w:rFonts w:hint="eastAsia" w:ascii="宋体"/>
          <w:color w:val="auto"/>
          <w:sz w:val="24"/>
          <w:u w:val="single"/>
        </w:rPr>
        <w:t xml:space="preserve">                        </w:t>
      </w:r>
      <w:r>
        <w:rPr>
          <w:rFonts w:hint="eastAsia" w:ascii="宋体"/>
          <w:color w:val="auto"/>
          <w:sz w:val="24"/>
        </w:rPr>
        <w:t>（盖章）</w:t>
      </w:r>
    </w:p>
    <w:p w14:paraId="3FCFE403">
      <w:pPr>
        <w:spacing w:line="440" w:lineRule="exact"/>
        <w:rPr>
          <w:rFonts w:ascii="宋体"/>
          <w:color w:val="auto"/>
          <w:sz w:val="24"/>
        </w:rPr>
      </w:pPr>
      <w:r>
        <w:rPr>
          <w:rFonts w:hint="eastAsia" w:ascii="宋体"/>
          <w:color w:val="auto"/>
          <w:sz w:val="24"/>
        </w:rPr>
        <w:t>供应商法定代表人：</w:t>
      </w:r>
      <w:r>
        <w:rPr>
          <w:rFonts w:hint="eastAsia" w:ascii="宋体"/>
          <w:color w:val="auto"/>
          <w:sz w:val="24"/>
          <w:u w:val="single"/>
        </w:rPr>
        <w:t xml:space="preserve">                  </w:t>
      </w:r>
      <w:r>
        <w:rPr>
          <w:rFonts w:hint="eastAsia" w:ascii="宋体"/>
          <w:color w:val="auto"/>
          <w:sz w:val="24"/>
        </w:rPr>
        <w:t>（签字或盖章）</w:t>
      </w:r>
    </w:p>
    <w:p w14:paraId="4119EB1D">
      <w:pPr>
        <w:spacing w:line="440" w:lineRule="exact"/>
        <w:rPr>
          <w:rFonts w:ascii="宋体"/>
          <w:color w:val="auto"/>
          <w:sz w:val="24"/>
        </w:rPr>
      </w:pPr>
      <w:r>
        <w:rPr>
          <w:rFonts w:hint="eastAsia" w:ascii="宋体"/>
          <w:color w:val="auto"/>
          <w:sz w:val="24"/>
        </w:rPr>
        <w:t>日    期：</w:t>
      </w:r>
      <w:r>
        <w:rPr>
          <w:rFonts w:hint="eastAsia" w:ascii="宋体"/>
          <w:color w:val="auto"/>
          <w:sz w:val="24"/>
          <w:u w:val="single"/>
        </w:rPr>
        <w:t xml:space="preserve">                 </w:t>
      </w:r>
    </w:p>
    <w:p w14:paraId="322EEA3D">
      <w:pPr>
        <w:spacing w:line="440" w:lineRule="exact"/>
        <w:rPr>
          <w:rFonts w:ascii="宋体"/>
          <w:color w:val="auto"/>
          <w:sz w:val="24"/>
        </w:rPr>
      </w:pPr>
      <w:r>
        <w:rPr>
          <w:rFonts w:hint="eastAsia" w:ascii="宋体"/>
          <w:color w:val="auto"/>
          <w:sz w:val="24"/>
        </w:rPr>
        <w:t>通讯地址：</w:t>
      </w:r>
      <w:r>
        <w:rPr>
          <w:rFonts w:hint="eastAsia" w:ascii="宋体"/>
          <w:color w:val="auto"/>
          <w:sz w:val="24"/>
          <w:u w:val="single"/>
        </w:rPr>
        <w:t xml:space="preserve">                 </w:t>
      </w:r>
    </w:p>
    <w:p w14:paraId="7C5CDCEB">
      <w:pPr>
        <w:spacing w:line="440" w:lineRule="exact"/>
        <w:rPr>
          <w:rFonts w:ascii="宋体"/>
          <w:color w:val="auto"/>
          <w:sz w:val="24"/>
          <w:u w:val="single"/>
        </w:rPr>
      </w:pPr>
      <w:r>
        <w:rPr>
          <w:rFonts w:hint="eastAsia" w:ascii="宋体"/>
          <w:color w:val="auto"/>
          <w:sz w:val="24"/>
        </w:rPr>
        <w:t>电    话：</w:t>
      </w:r>
      <w:r>
        <w:rPr>
          <w:rFonts w:hint="eastAsia" w:ascii="宋体"/>
          <w:color w:val="auto"/>
          <w:sz w:val="24"/>
          <w:u w:val="single"/>
        </w:rPr>
        <w:t xml:space="preserve">             </w:t>
      </w:r>
    </w:p>
    <w:p w14:paraId="5BDF9F24">
      <w:pPr>
        <w:spacing w:line="360" w:lineRule="auto"/>
        <w:rPr>
          <w:b/>
          <w:color w:val="auto"/>
          <w:sz w:val="28"/>
          <w:szCs w:val="28"/>
        </w:rPr>
      </w:pPr>
    </w:p>
    <w:p w14:paraId="39EC1D0E">
      <w:pPr>
        <w:rPr>
          <w:rFonts w:ascii="宋体" w:hAnsi="宋体" w:cs="宋体"/>
          <w:vanish/>
          <w:color w:val="auto"/>
          <w:kern w:val="2"/>
        </w:rPr>
      </w:pPr>
    </w:p>
    <w:bookmarkEnd w:id="0"/>
    <w:p w14:paraId="5B717C25">
      <w:pPr>
        <w:pStyle w:val="39"/>
        <w:ind w:left="0" w:leftChars="0" w:firstLine="0" w:firstLineChars="0"/>
        <w:rPr>
          <w:color w:val="auto"/>
          <w:sz w:val="24"/>
        </w:rPr>
      </w:pPr>
    </w:p>
    <w:p w14:paraId="624BC68E">
      <w:pPr>
        <w:pStyle w:val="31"/>
        <w:rPr>
          <w:rFonts w:ascii="宋体"/>
          <w:sz w:val="24"/>
        </w:rPr>
      </w:pPr>
    </w:p>
    <w:p w14:paraId="2BD193FF">
      <w:pPr>
        <w:pStyle w:val="31"/>
        <w:rPr>
          <w:rFonts w:ascii="宋体"/>
          <w:sz w:val="24"/>
        </w:rPr>
      </w:pPr>
    </w:p>
    <w:p w14:paraId="30A1FEDF">
      <w:pPr>
        <w:pStyle w:val="31"/>
        <w:rPr>
          <w:rFonts w:ascii="宋体"/>
          <w:sz w:val="24"/>
        </w:rPr>
      </w:pPr>
    </w:p>
    <w:p w14:paraId="48F70341">
      <w:pPr>
        <w:pStyle w:val="31"/>
        <w:rPr>
          <w:rFonts w:ascii="宋体"/>
          <w:sz w:val="24"/>
        </w:rPr>
      </w:pPr>
    </w:p>
    <w:p w14:paraId="0B1D19F7">
      <w:pPr>
        <w:pStyle w:val="31"/>
        <w:rPr>
          <w:rFonts w:ascii="宋体"/>
          <w:sz w:val="24"/>
        </w:rPr>
      </w:pPr>
    </w:p>
    <w:p w14:paraId="7AE2B269">
      <w:pPr>
        <w:pStyle w:val="31"/>
        <w:rPr>
          <w:rFonts w:ascii="宋体"/>
          <w:sz w:val="24"/>
        </w:rPr>
      </w:pPr>
    </w:p>
    <w:p w14:paraId="0E5B5199">
      <w:pPr>
        <w:pStyle w:val="31"/>
        <w:rPr>
          <w:rFonts w:ascii="宋体"/>
          <w:sz w:val="24"/>
        </w:rPr>
      </w:pPr>
    </w:p>
    <w:p w14:paraId="0DE09BCC">
      <w:pPr>
        <w:pStyle w:val="31"/>
        <w:rPr>
          <w:rFonts w:ascii="宋体"/>
          <w:sz w:val="24"/>
        </w:rPr>
      </w:pPr>
    </w:p>
    <w:p w14:paraId="75D72A5B">
      <w:pPr>
        <w:pStyle w:val="31"/>
        <w:rPr>
          <w:rFonts w:ascii="宋体"/>
          <w:sz w:val="24"/>
        </w:rPr>
      </w:pPr>
    </w:p>
    <w:p w14:paraId="5FCA806D">
      <w:pPr>
        <w:rPr>
          <w:rFonts w:ascii="宋体" w:hAnsi="宋体" w:cs="宋体"/>
          <w:b/>
          <w:color w:val="auto"/>
          <w:sz w:val="32"/>
          <w:szCs w:val="32"/>
        </w:rPr>
      </w:pPr>
    </w:p>
    <w:p w14:paraId="5ADA6ED5">
      <w:pPr>
        <w:spacing w:line="360" w:lineRule="exact"/>
        <w:rPr>
          <w:rFonts w:ascii="宋体" w:hAnsi="宋体"/>
          <w:b/>
          <w:color w:val="auto"/>
          <w:sz w:val="30"/>
          <w:szCs w:val="30"/>
        </w:rPr>
      </w:pPr>
    </w:p>
    <w:p w14:paraId="2159E02B">
      <w:pPr>
        <w:pageBreakBefore/>
        <w:rPr>
          <w:b/>
          <w:color w:val="auto"/>
          <w:sz w:val="30"/>
          <w:szCs w:val="30"/>
        </w:rPr>
      </w:pPr>
      <w:r>
        <w:rPr>
          <w:rFonts w:hint="eastAsia"/>
          <w:b/>
          <w:color w:val="auto"/>
          <w:sz w:val="30"/>
          <w:szCs w:val="30"/>
        </w:rPr>
        <w:t>附件</w:t>
      </w:r>
    </w:p>
    <w:p w14:paraId="0B8A9D16">
      <w:pPr>
        <w:jc w:val="center"/>
        <w:rPr>
          <w:rFonts w:ascii="黑体" w:hAnsi="黑体" w:eastAsia="黑体"/>
          <w:b/>
          <w:color w:val="auto"/>
          <w:sz w:val="30"/>
          <w:szCs w:val="30"/>
        </w:rPr>
      </w:pPr>
      <w:r>
        <w:rPr>
          <w:rFonts w:ascii="黑体" w:hAnsi="黑体" w:eastAsia="黑体"/>
          <w:b/>
          <w:color w:val="auto"/>
          <w:sz w:val="30"/>
          <w:szCs w:val="30"/>
        </w:rPr>
        <w:t>关于联合惩戒失信行为</w:t>
      </w:r>
      <w:r>
        <w:rPr>
          <w:rFonts w:hint="eastAsia" w:ascii="黑体" w:hAnsi="黑体" w:eastAsia="黑体"/>
          <w:b/>
          <w:color w:val="auto"/>
          <w:sz w:val="30"/>
          <w:szCs w:val="30"/>
        </w:rPr>
        <w:t xml:space="preserve"> </w:t>
      </w:r>
      <w:r>
        <w:rPr>
          <w:rFonts w:ascii="黑体" w:hAnsi="黑体" w:eastAsia="黑体"/>
          <w:b/>
          <w:color w:val="auto"/>
          <w:sz w:val="30"/>
          <w:szCs w:val="30"/>
        </w:rPr>
        <w:t>加强信用查询管理的</w:t>
      </w:r>
      <w:r>
        <w:rPr>
          <w:rFonts w:hint="eastAsia" w:ascii="黑体" w:hAnsi="黑体" w:eastAsia="黑体"/>
          <w:b/>
          <w:color w:val="auto"/>
          <w:sz w:val="30"/>
          <w:szCs w:val="30"/>
        </w:rPr>
        <w:t>通知</w:t>
      </w:r>
    </w:p>
    <w:p w14:paraId="28C332AB">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一、失信行为联合惩戒的范围和查询渠道</w:t>
      </w:r>
    </w:p>
    <w:p w14:paraId="205E313A">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在我市公共资源交易活动中对存在下列失信行为的投标人、法定代表人及其项目负责人实施联合惩戒，禁止参与我市公共资源交易活动。</w:t>
      </w:r>
    </w:p>
    <w:p w14:paraId="12BFE863">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（一）工程建设项目</w:t>
      </w:r>
    </w:p>
    <w:p w14:paraId="32CB9123">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1、“信用中国”网站（www.creditchina.gov.cn）查询以下失信行为：</w:t>
      </w:r>
    </w:p>
    <w:p w14:paraId="2102DFDC">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①投标人被人民法院列入失信被执行人的；</w:t>
      </w:r>
    </w:p>
    <w:p w14:paraId="54A6AB99">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②投标人被税务部门列入重大税收违法案件当事人的；</w:t>
      </w:r>
    </w:p>
    <w:p w14:paraId="71204B76">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③投标人被人力资源社会保障行政部门列入拖欠农民工工资“黑名单”的；</w:t>
      </w:r>
    </w:p>
    <w:p w14:paraId="3FC3E4CB">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④在“信用中国”网站上披露的仍在公示期的严重失信行为的。</w:t>
      </w:r>
    </w:p>
    <w:p w14:paraId="0EEEE0B5">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2、国家企业信用信息公示系统网站（www.gsxt.gov.cn）查询以下失信行为：</w:t>
      </w:r>
    </w:p>
    <w:p w14:paraId="748D3122">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①被市场监督管理部门列入经营异常名录或者严重违法企业名单，且未被移除的。</w:t>
      </w:r>
    </w:p>
    <w:p w14:paraId="1D127088">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3、滁州市机电工程学校官网（http://ggzy.chuzhou.gov.cn/）查询以下失信行为：</w:t>
      </w:r>
    </w:p>
    <w:p w14:paraId="333271A6">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①被滁州市县两级公管部门取消在一定期限内的投标资格且在取消期限内的；</w:t>
      </w:r>
    </w:p>
    <w:p w14:paraId="31BC495C">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②被滁州市县两级公管部门记入不良行为记录或者信用信息记录，且在披露期内的。</w:t>
      </w:r>
    </w:p>
    <w:p w14:paraId="69B7D1AF">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4、由竞争主体进行承诺，不进行现场信用查询的失信行为：</w:t>
      </w:r>
    </w:p>
    <w:p w14:paraId="3841A567">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①前三年列入行贿犯罪档案的单位和个人；</w:t>
      </w:r>
    </w:p>
    <w:p w14:paraId="043E0AA8">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②被滁州市县两级各行业主管部门取消在一定期限内的投标资格且在取消期限内的；</w:t>
      </w:r>
    </w:p>
    <w:p w14:paraId="76A6F0ED">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③因拖欠农民工工资被县级及以上有关行政主管部门限制投标资格且在限制期限内的。</w:t>
      </w:r>
    </w:p>
    <w:p w14:paraId="2094BC3F">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（二）政府采购项目</w:t>
      </w:r>
    </w:p>
    <w:p w14:paraId="3F47E28B">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1、“信用中国”网站（www.creditchina.gov.cn）查询以下失信行为：</w:t>
      </w:r>
    </w:p>
    <w:p w14:paraId="28E4F6B4">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①投标人被人民法院列入失信被执行人的；</w:t>
      </w:r>
    </w:p>
    <w:p w14:paraId="253E24BD">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②投标人被税务部门列入重大税收违法案件当事人的；</w:t>
      </w:r>
    </w:p>
    <w:p w14:paraId="144ACC47">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③在“信用中国”网站上披露的仍在公示期的严重失信行为的。</w:t>
      </w:r>
    </w:p>
    <w:p w14:paraId="7ED2C7E4">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2、国家企业信用信息公示系统网站（www.gsxt.gov.cn）查询以下失信行为：</w:t>
      </w:r>
    </w:p>
    <w:p w14:paraId="3E22E401">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①被市场监督管理部门列入经营异常名录或者严重违法企业名单，且未被移除的。</w:t>
      </w:r>
    </w:p>
    <w:p w14:paraId="54728BDD">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3、中国政府采购网站（www.ccgp.gov.cn）查询以下失信行为：</w:t>
      </w:r>
    </w:p>
    <w:p w14:paraId="1AE99935">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①政府采购严重违法失信行为</w:t>
      </w:r>
    </w:p>
    <w:p w14:paraId="489D3B7A">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4、由竞争主体进行承诺，不进行现场信用查询的失信行为：</w:t>
      </w:r>
    </w:p>
    <w:p w14:paraId="08C1D084">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①前三年列入行贿犯罪档案的单位和个人。</w:t>
      </w:r>
    </w:p>
    <w:p w14:paraId="23AB905B">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二、在开评标活动中的查询程序</w:t>
      </w:r>
    </w:p>
    <w:p w14:paraId="6D26BC55">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1、实行有限数量制资格审查的项目，由项目单位（代理机构）对入围的投标人、法定代表人及其项目负责人是否存在上述要求查询的失信行为进行核查；若核查结果与投标人承诺不一致，则提交评标委员会取消其入围资格，依次进行替补，并对替补单位进行核查。评审结论以核查后入围的结果重新计算最终评标基准值。</w:t>
      </w:r>
    </w:p>
    <w:p w14:paraId="4423A669">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2、</w:t>
      </w:r>
      <w:r>
        <w:rPr>
          <w:rFonts w:hint="eastAsia" w:ascii="宋体" w:hAnsi="宋体" w:cs="宋体"/>
          <w:color w:val="auto"/>
          <w:szCs w:val="21"/>
        </w:rPr>
        <w:t>不实行有限数量制资格审查的项目，由项目单位（代理机构）对预中标候选人、法定代表人及其项目经理（建造师）是否存在上述要求查询的失信行为进行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值。</w:t>
      </w:r>
    </w:p>
    <w:p w14:paraId="4E639DD4">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3、项目单位及其委托的代理机构应当做好信用查询结果截图和记录留存。</w:t>
      </w:r>
    </w:p>
    <w:p w14:paraId="69588F81">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三、相关要求</w:t>
      </w:r>
    </w:p>
    <w:p w14:paraId="3FA2E6EB">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1、参与公共资源交易活动的竞争主体根据上述范围查询的内容进行自查并承诺，出具《诚信投标承诺书》（诚信投标承诺书包括但不限于上述自查并承诺内容）并注明承诺日期（投标截止时间前5日内）。</w:t>
      </w:r>
    </w:p>
    <w:p w14:paraId="1AFA7FBD">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5CCE4A50">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2、“信用中国”查询的严重失信行为判定依据为各行业主管部门下发的联合惩戒文件中规定的行为（按附件2执行）。</w:t>
      </w:r>
    </w:p>
    <w:p w14:paraId="094E7DCA">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3、资格预审的项目以递交资格预审申请文件截止时间查询为准；资格后审的项目以递交投标文件截止时间查询为准。</w:t>
      </w:r>
    </w:p>
    <w:p w14:paraId="00BEC383">
      <w:pPr>
        <w:spacing w:line="440" w:lineRule="exact"/>
        <w:jc w:val="left"/>
        <w:rPr>
          <w:rFonts w:ascii="宋体" w:hAnsi="宋体" w:cs="宋体"/>
          <w:bCs/>
          <w:color w:val="auto"/>
          <w:szCs w:val="21"/>
        </w:rPr>
      </w:pPr>
    </w:p>
    <w:p w14:paraId="7E3BB57C">
      <w:pPr>
        <w:spacing w:line="440" w:lineRule="exact"/>
        <w:jc w:val="left"/>
        <w:rPr>
          <w:rFonts w:ascii="宋体" w:hAnsi="宋体" w:cs="宋体"/>
          <w:bCs/>
          <w:color w:val="auto"/>
          <w:szCs w:val="21"/>
        </w:rPr>
      </w:pPr>
    </w:p>
    <w:p w14:paraId="072E6101">
      <w:pPr>
        <w:pStyle w:val="39"/>
        <w:spacing w:line="440" w:lineRule="exact"/>
        <w:ind w:left="0" w:leftChars="0" w:firstLine="0" w:firstLineChars="0"/>
        <w:jc w:val="left"/>
        <w:rPr>
          <w:rFonts w:hAnsi="宋体" w:cs="宋体"/>
          <w:bCs/>
          <w:color w:val="auto"/>
          <w:szCs w:val="21"/>
        </w:rPr>
      </w:pPr>
    </w:p>
    <w:p w14:paraId="49C61DFB">
      <w:pPr>
        <w:spacing w:line="440" w:lineRule="exact"/>
        <w:jc w:val="left"/>
        <w:rPr>
          <w:rFonts w:ascii="宋体" w:hAnsi="宋体" w:cs="宋体"/>
          <w:bCs/>
          <w:color w:val="auto"/>
          <w:szCs w:val="21"/>
        </w:rPr>
      </w:pPr>
    </w:p>
    <w:p w14:paraId="18A4589C">
      <w:pPr>
        <w:pStyle w:val="39"/>
        <w:ind w:firstLine="420"/>
        <w:rPr>
          <w:rFonts w:hAnsi="宋体" w:cs="宋体"/>
          <w:bCs/>
          <w:color w:val="auto"/>
          <w:szCs w:val="21"/>
        </w:rPr>
      </w:pPr>
    </w:p>
    <w:p w14:paraId="10DFD48D">
      <w:pPr>
        <w:rPr>
          <w:rFonts w:ascii="宋体" w:hAnsi="宋体" w:cs="宋体"/>
          <w:bCs/>
          <w:color w:val="auto"/>
          <w:szCs w:val="21"/>
        </w:rPr>
      </w:pPr>
    </w:p>
    <w:p w14:paraId="15D34E4E">
      <w:pPr>
        <w:pStyle w:val="39"/>
        <w:ind w:firstLine="420"/>
        <w:rPr>
          <w:rFonts w:hAnsi="宋体" w:cs="宋体"/>
          <w:bCs/>
          <w:color w:val="auto"/>
          <w:szCs w:val="21"/>
        </w:rPr>
      </w:pPr>
    </w:p>
    <w:p w14:paraId="7D6A9C59">
      <w:pPr>
        <w:rPr>
          <w:color w:val="auto"/>
        </w:rPr>
      </w:pPr>
    </w:p>
    <w:p w14:paraId="464EE5DA">
      <w:pPr>
        <w:jc w:val="left"/>
        <w:rPr>
          <w:rFonts w:ascii="黑体" w:hAnsi="黑体" w:eastAsia="黑体"/>
          <w:b/>
          <w:color w:val="auto"/>
          <w:sz w:val="30"/>
          <w:szCs w:val="30"/>
        </w:rPr>
      </w:pPr>
    </w:p>
    <w:p w14:paraId="21A706F9">
      <w:pPr>
        <w:jc w:val="left"/>
        <w:rPr>
          <w:rFonts w:ascii="黑体" w:hAnsi="黑体" w:eastAsia="黑体"/>
          <w:b/>
          <w:color w:val="auto"/>
          <w:sz w:val="30"/>
          <w:szCs w:val="30"/>
        </w:rPr>
      </w:pPr>
      <w:r>
        <w:rPr>
          <w:rFonts w:hint="eastAsia" w:ascii="黑体" w:hAnsi="黑体" w:eastAsia="黑体"/>
          <w:b/>
          <w:color w:val="auto"/>
          <w:sz w:val="30"/>
          <w:szCs w:val="30"/>
        </w:rPr>
        <w:t>附件2</w:t>
      </w:r>
    </w:p>
    <w:p w14:paraId="06340084">
      <w:pPr>
        <w:jc w:val="center"/>
        <w:rPr>
          <w:rFonts w:ascii="宋体" w:hAnsi="宋体" w:cs="宋体"/>
          <w:b/>
          <w:color w:val="auto"/>
          <w:szCs w:val="21"/>
        </w:rPr>
      </w:pPr>
      <w:r>
        <w:rPr>
          <w:rFonts w:hint="eastAsia" w:ascii="黑体" w:hAnsi="黑体" w:eastAsia="黑体"/>
          <w:b/>
          <w:color w:val="auto"/>
          <w:sz w:val="30"/>
          <w:szCs w:val="30"/>
        </w:rPr>
        <w:t>“信用中国”查询的严重失信行为类别及判定依据</w:t>
      </w:r>
    </w:p>
    <w:p w14:paraId="53A69AA3">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“信用中国”查询的严重失信行为判定依据为各行业主管部门下发的联合惩戒文件中规定的行为。下面将部分类别的严重失信行为列举如下：</w:t>
      </w:r>
    </w:p>
    <w:p w14:paraId="25F7973C">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一、安全生产领域严重失信行为：</w:t>
      </w:r>
    </w:p>
    <w:p w14:paraId="2389E9D5">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（一）发生较大及以上生产安全责任事故，或1年内累计发生3起及以上造成人员死亡的一般生产安全责任事故的；</w:t>
      </w:r>
    </w:p>
    <w:p w14:paraId="55AD93F4">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（二）未按规定取得安全生产许可，擅自开展生产经营建设活动的；</w:t>
      </w:r>
    </w:p>
    <w:p w14:paraId="7E166EA3">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（三）发现重大生产安全事故隐患，或职业病危害严重超标，不及时整改，仍组织从业人员冒险作业的；</w:t>
      </w:r>
    </w:p>
    <w:p w14:paraId="374E31B4">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（四）采取隐蔽、欺骗或阻碍等方式逃避、对抗安全监管监察的;</w:t>
      </w:r>
    </w:p>
    <w:p w14:paraId="113F1C11">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（五）被责令停产停业整顿，仍然从事生产经营建设活动的；</w:t>
      </w:r>
    </w:p>
    <w:p w14:paraId="7680856C">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（六）瞒报、谎报、迟报生产安全事故的；</w:t>
      </w:r>
    </w:p>
    <w:p w14:paraId="7820DAFC">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（七）矿山、危险化学品、金属冶炼等高危行业建设项目安全设施未经验收合格即投入生产和使用的；</w:t>
      </w:r>
    </w:p>
    <w:p w14:paraId="04063FC0">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（八）矿山生产经营单位存在超层越界开采、以探代采行为的；</w:t>
      </w:r>
    </w:p>
    <w:p w14:paraId="545845A0">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（九）发生事故后，故意破坏事故现场，伪造有关证据资料，妨碍、对抗事故调查，或主要负责人逃逸的；</w:t>
      </w:r>
    </w:p>
    <w:p w14:paraId="27CB1998">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（十）安全生产和职业健康技术服务机构出具虚假报告或证明，违规转让或出借资质的。</w:t>
      </w:r>
    </w:p>
    <w:p w14:paraId="1B0AA643">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依据：《对安全生产领域失信行为开展联合惩戒的实施办法》（安监总办〔2017〕49号）第二条</w:t>
      </w:r>
    </w:p>
    <w:p w14:paraId="57B07620">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二、环境保护领域严重失信行为：</w:t>
      </w:r>
    </w:p>
    <w:p w14:paraId="7B457009">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（一）因为环境违法构成</w:t>
      </w:r>
      <w:r>
        <w:fldChar w:fldCharType="begin"/>
      </w:r>
      <w:r>
        <w:instrText xml:space="preserve"> HYPERLINK "https://baike.sogou.com/m/fullLemma?lid=10403954&amp;g_ut=3" \t "https://baike.sogou.com/m/_blank" </w:instrText>
      </w:r>
      <w:r>
        <w:fldChar w:fldCharType="separate"/>
      </w:r>
      <w:r>
        <w:rPr>
          <w:rFonts w:hint="eastAsia" w:ascii="宋体" w:hAnsi="宋体" w:cs="宋体"/>
          <w:color w:val="auto"/>
          <w:szCs w:val="21"/>
        </w:rPr>
        <w:t>环境犯罪</w:t>
      </w:r>
      <w:r>
        <w:rPr>
          <w:rFonts w:hint="eastAsia" w:ascii="宋体" w:hAnsi="宋体" w:cs="宋体"/>
          <w:color w:val="auto"/>
          <w:szCs w:val="21"/>
        </w:rPr>
        <w:fldChar w:fldCharType="end"/>
      </w:r>
      <w:r>
        <w:rPr>
          <w:rFonts w:hint="eastAsia" w:ascii="宋体" w:hAnsi="宋体" w:cs="宋体"/>
          <w:color w:val="auto"/>
          <w:szCs w:val="21"/>
        </w:rPr>
        <w:t>的；</w:t>
      </w:r>
    </w:p>
    <w:p w14:paraId="041EF0F5">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（二）</w:t>
      </w:r>
      <w:r>
        <w:fldChar w:fldCharType="begin"/>
      </w:r>
      <w:r>
        <w:instrText xml:space="preserve"> HYPERLINK "https://baike.sogou.com/m/fullLemma?lid=76033123&amp;g_ut=3" \t "https://baike.sogou.com/m/_blank" </w:instrText>
      </w:r>
      <w:r>
        <w:fldChar w:fldCharType="separate"/>
      </w:r>
      <w:r>
        <w:rPr>
          <w:rFonts w:hint="eastAsia" w:ascii="宋体" w:hAnsi="宋体" w:cs="宋体"/>
          <w:color w:val="auto"/>
          <w:szCs w:val="21"/>
        </w:rPr>
        <w:t>建设项目环境影响评价</w:t>
      </w:r>
      <w:r>
        <w:rPr>
          <w:rFonts w:hint="eastAsia" w:ascii="宋体" w:hAnsi="宋体" w:cs="宋体"/>
          <w:color w:val="auto"/>
          <w:szCs w:val="21"/>
        </w:rPr>
        <w:fldChar w:fldCharType="end"/>
      </w:r>
      <w:r>
        <w:rPr>
          <w:rFonts w:hint="eastAsia" w:ascii="宋体" w:hAnsi="宋体" w:cs="宋体"/>
          <w:color w:val="auto"/>
          <w:szCs w:val="21"/>
        </w:rPr>
        <w:t>文件未按规定通过审批，擅自开工建设的；</w:t>
      </w:r>
    </w:p>
    <w:p w14:paraId="309EC30F">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（三）建设项目环保设施未建成、环保措施未落实、未通过</w:t>
      </w:r>
      <w:r>
        <w:fldChar w:fldCharType="begin"/>
      </w:r>
      <w:r>
        <w:instrText xml:space="preserve"> HYPERLINK "https://baike.sogou.com/m/fullLemma?lid=6470550&amp;g_ut=3" \t "https://baike.sogou.com/m/_blank" </w:instrText>
      </w:r>
      <w:r>
        <w:fldChar w:fldCharType="separate"/>
      </w:r>
      <w:r>
        <w:rPr>
          <w:rFonts w:hint="eastAsia" w:ascii="宋体" w:hAnsi="宋体" w:cs="宋体"/>
          <w:color w:val="auto"/>
          <w:szCs w:val="21"/>
        </w:rPr>
        <w:t>竣工环保验收</w:t>
      </w:r>
      <w:r>
        <w:rPr>
          <w:rFonts w:hint="eastAsia" w:ascii="宋体" w:hAnsi="宋体" w:cs="宋体"/>
          <w:color w:val="auto"/>
          <w:szCs w:val="21"/>
        </w:rPr>
        <w:fldChar w:fldCharType="end"/>
      </w:r>
      <w:r>
        <w:rPr>
          <w:rFonts w:hint="eastAsia" w:ascii="宋体" w:hAnsi="宋体" w:cs="宋体"/>
          <w:color w:val="auto"/>
          <w:szCs w:val="21"/>
        </w:rPr>
        <w:t>或者验收不合格，主体工程正式投入生产或者使用的；</w:t>
      </w:r>
    </w:p>
    <w:p w14:paraId="2DC9AB7D">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（四）建设项目性质、规模、地点、采用的生产工艺或者防治污染、防止生态破坏的措施发生重大变动，未重新报批环境影响评价文件，擅自投入生产或者使用的；</w:t>
      </w:r>
    </w:p>
    <w:p w14:paraId="1D362A32">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（五）主要污染物排放总量超过控制指标的；</w:t>
      </w:r>
    </w:p>
    <w:p w14:paraId="7D9FFEDE">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（六）私设暗管或者利用</w:t>
      </w:r>
      <w:r>
        <w:fldChar w:fldCharType="begin"/>
      </w:r>
      <w:r>
        <w:instrText xml:space="preserve"> HYPERLINK "https://baike.sogou.com/m/fullLemma?lid=41657319&amp;g_ut=3" \t "https://baike.sogou.com/m/_blank" </w:instrText>
      </w:r>
      <w:r>
        <w:fldChar w:fldCharType="separate"/>
      </w:r>
      <w:r>
        <w:rPr>
          <w:rFonts w:hint="eastAsia" w:ascii="宋体" w:hAnsi="宋体" w:cs="宋体"/>
          <w:color w:val="auto"/>
          <w:szCs w:val="21"/>
        </w:rPr>
        <w:t>渗井</w:t>
      </w:r>
      <w:r>
        <w:rPr>
          <w:rFonts w:hint="eastAsia" w:ascii="宋体" w:hAnsi="宋体" w:cs="宋体"/>
          <w:color w:val="auto"/>
          <w:szCs w:val="21"/>
        </w:rPr>
        <w:fldChar w:fldCharType="end"/>
      </w:r>
      <w:r>
        <w:rPr>
          <w:rFonts w:hint="eastAsia" w:ascii="宋体" w:hAnsi="宋体" w:cs="宋体"/>
          <w:color w:val="auto"/>
          <w:szCs w:val="21"/>
        </w:rPr>
        <w:t>、渗坑、裂隙、溶洞等排放、倾倒、处置水污染物，或者通过私设旁路排放</w:t>
      </w:r>
      <w:r>
        <w:fldChar w:fldCharType="begin"/>
      </w:r>
      <w:r>
        <w:instrText xml:space="preserve"> HYPERLINK "https://baike.sogou.com/m/fullLemma?lid=7758328&amp;g_ut=3" \t "https://baike.sogou.com/m/_blank" </w:instrText>
      </w:r>
      <w:r>
        <w:fldChar w:fldCharType="separate"/>
      </w:r>
      <w:r>
        <w:rPr>
          <w:rFonts w:hint="eastAsia" w:ascii="宋体" w:hAnsi="宋体" w:cs="宋体"/>
          <w:color w:val="auto"/>
          <w:szCs w:val="21"/>
        </w:rPr>
        <w:t>大气污染物</w:t>
      </w:r>
      <w:r>
        <w:rPr>
          <w:rFonts w:hint="eastAsia" w:ascii="宋体" w:hAnsi="宋体" w:cs="宋体"/>
          <w:color w:val="auto"/>
          <w:szCs w:val="21"/>
        </w:rPr>
        <w:fldChar w:fldCharType="end"/>
      </w:r>
      <w:r>
        <w:rPr>
          <w:rFonts w:hint="eastAsia" w:ascii="宋体" w:hAnsi="宋体" w:cs="宋体"/>
          <w:color w:val="auto"/>
          <w:szCs w:val="21"/>
        </w:rPr>
        <w:t>的；</w:t>
      </w:r>
    </w:p>
    <w:p w14:paraId="337531DD">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（七）非法排放、倾倒、处置危险废物，或者向无</w:t>
      </w:r>
      <w:r>
        <w:fldChar w:fldCharType="begin"/>
      </w:r>
      <w:r>
        <w:instrText xml:space="preserve"> HYPERLINK "https://baike.sogou.com/m/fullLemma?lid=5923292&amp;g_ut=3" \t "https://baike.sogou.com/m/_blank" </w:instrText>
      </w:r>
      <w:r>
        <w:fldChar w:fldCharType="separate"/>
      </w:r>
      <w:r>
        <w:rPr>
          <w:rFonts w:hint="eastAsia" w:ascii="宋体" w:hAnsi="宋体" w:cs="宋体"/>
          <w:color w:val="auto"/>
          <w:szCs w:val="21"/>
        </w:rPr>
        <w:t>经营许可证</w:t>
      </w:r>
      <w:r>
        <w:rPr>
          <w:rFonts w:hint="eastAsia" w:ascii="宋体" w:hAnsi="宋体" w:cs="宋体"/>
          <w:color w:val="auto"/>
          <w:szCs w:val="21"/>
        </w:rPr>
        <w:fldChar w:fldCharType="end"/>
      </w:r>
      <w:r>
        <w:rPr>
          <w:rFonts w:hint="eastAsia" w:ascii="宋体" w:hAnsi="宋体" w:cs="宋体"/>
          <w:color w:val="auto"/>
          <w:szCs w:val="21"/>
        </w:rPr>
        <w:t>或者超出经营许可范围的单位或个人提供或者委托其收集、贮存、利用、处置危险废物的；</w:t>
      </w:r>
    </w:p>
    <w:p w14:paraId="25A3AAFE">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（八）</w:t>
      </w:r>
      <w:r>
        <w:fldChar w:fldCharType="begin"/>
      </w:r>
      <w:r>
        <w:instrText xml:space="preserve"> HYPERLINK "https://baike.sogou.com/m/fullLemma?lid=167759803&amp;g_ut=3" \t "https://baike.sogou.com/m/_blank" </w:instrText>
      </w:r>
      <w:r>
        <w:fldChar w:fldCharType="separate"/>
      </w:r>
      <w:r>
        <w:rPr>
          <w:rFonts w:hint="eastAsia" w:ascii="宋体" w:hAnsi="宋体" w:cs="宋体"/>
          <w:color w:val="auto"/>
          <w:szCs w:val="21"/>
        </w:rPr>
        <w:t>环境违法行为</w:t>
      </w:r>
      <w:r>
        <w:rPr>
          <w:rFonts w:hint="eastAsia" w:ascii="宋体" w:hAnsi="宋体" w:cs="宋体"/>
          <w:color w:val="auto"/>
          <w:szCs w:val="21"/>
        </w:rPr>
        <w:fldChar w:fldCharType="end"/>
      </w:r>
      <w:r>
        <w:rPr>
          <w:rFonts w:hint="eastAsia" w:ascii="宋体" w:hAnsi="宋体" w:cs="宋体"/>
          <w:color w:val="auto"/>
          <w:szCs w:val="21"/>
        </w:rPr>
        <w:t>造成集中式生活饮用水水源取水中断的；</w:t>
      </w:r>
    </w:p>
    <w:p w14:paraId="7093C931">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（九）环境违法行为对生活饮用水水源保护区、自然保护区、</w:t>
      </w:r>
      <w:r>
        <w:fldChar w:fldCharType="begin"/>
      </w:r>
      <w:r>
        <w:instrText xml:space="preserve"> HYPERLINK "https://baike.sogou.com/m/fullLemma?lid=155199213&amp;g_ut=3" \t "https://baike.sogou.com/m/_blank" </w:instrText>
      </w:r>
      <w:r>
        <w:fldChar w:fldCharType="separate"/>
      </w:r>
      <w:r>
        <w:rPr>
          <w:rFonts w:hint="eastAsia" w:ascii="宋体" w:hAnsi="宋体" w:cs="宋体"/>
          <w:color w:val="auto"/>
          <w:szCs w:val="21"/>
        </w:rPr>
        <w:t>国家重点生态功能区</w:t>
      </w:r>
      <w:r>
        <w:rPr>
          <w:rFonts w:hint="eastAsia" w:ascii="宋体" w:hAnsi="宋体" w:cs="宋体"/>
          <w:color w:val="auto"/>
          <w:szCs w:val="21"/>
        </w:rPr>
        <w:fldChar w:fldCharType="end"/>
      </w:r>
      <w:r>
        <w:rPr>
          <w:rFonts w:hint="eastAsia" w:ascii="宋体" w:hAnsi="宋体" w:cs="宋体"/>
          <w:color w:val="auto"/>
          <w:szCs w:val="21"/>
        </w:rPr>
        <w:t>、风景名胜区、居住功能区、</w:t>
      </w:r>
      <w:r>
        <w:fldChar w:fldCharType="begin"/>
      </w:r>
      <w:r>
        <w:instrText xml:space="preserve"> HYPERLINK "https://baike.sogou.com/m/fullLemma?lid=7757164&amp;g_ut=3" \t "https://baike.sogou.com/m/_blank" </w:instrText>
      </w:r>
      <w:r>
        <w:fldChar w:fldCharType="separate"/>
      </w:r>
      <w:r>
        <w:rPr>
          <w:rFonts w:hint="eastAsia" w:ascii="宋体" w:hAnsi="宋体" w:cs="宋体"/>
          <w:color w:val="auto"/>
          <w:szCs w:val="21"/>
        </w:rPr>
        <w:t>基本农田保护区</w:t>
      </w:r>
      <w:r>
        <w:rPr>
          <w:rFonts w:hint="eastAsia" w:ascii="宋体" w:hAnsi="宋体" w:cs="宋体"/>
          <w:color w:val="auto"/>
          <w:szCs w:val="21"/>
        </w:rPr>
        <w:fldChar w:fldCharType="end"/>
      </w:r>
      <w:r>
        <w:rPr>
          <w:rFonts w:hint="eastAsia" w:ascii="宋体" w:hAnsi="宋体" w:cs="宋体"/>
          <w:color w:val="auto"/>
          <w:szCs w:val="21"/>
        </w:rPr>
        <w:t>等环境敏感区造成重大不利影响的；</w:t>
      </w:r>
    </w:p>
    <w:p w14:paraId="1E41A0FD">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（十）违法从事自然资源开发、交通基础设施建设，以及其他开发建设活动，造成严重生态破坏的；</w:t>
      </w:r>
    </w:p>
    <w:p w14:paraId="73DA4485">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（十一）发生较大及以上突发环境事件的；</w:t>
      </w:r>
    </w:p>
    <w:p w14:paraId="4EF0E034">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（十二）被环保部门挂牌督办，整改逾期未完成的；</w:t>
      </w:r>
    </w:p>
    <w:p w14:paraId="02EFC066">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（十三）以暴力、威胁等方式拒绝、阻挠环保部门工作人员现场检查的；</w:t>
      </w:r>
    </w:p>
    <w:p w14:paraId="54ED4D46">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（十四）违反重污染天气应急预案有关规定，对重污染天气响应不力的。</w:t>
      </w:r>
    </w:p>
    <w:p w14:paraId="7A12765A">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依据：《关于对环境保护领域失信生产经营单位及其有关人员开展联合惩戒的合作备忘录》、《企业环境信用评价办法（试行）》（环发〔2013〕150号）</w:t>
      </w:r>
    </w:p>
    <w:p w14:paraId="7D4B49D9">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三、</w:t>
      </w:r>
      <w:r>
        <w:rPr>
          <w:rFonts w:hint="eastAsia" w:ascii="宋体" w:hAnsi="宋体" w:cs="宋体"/>
          <w:b/>
          <w:bCs/>
          <w:color w:val="auto"/>
          <w:szCs w:val="21"/>
        </w:rPr>
        <w:t>公共资源交易领域严重失信行为</w:t>
      </w:r>
    </w:p>
    <w:p w14:paraId="30F327C1">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（一）违反法律规定，必须进行招标的项目而不招标的，将必须进行招标的项目化整为零或者以其他任何方式规避招标的； </w:t>
      </w:r>
    </w:p>
    <w:p w14:paraId="789BCBDB">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（二）招标代理机构违反法律规定，泄露应当保密的与招标投标活动有关的情况和资料的，或者与招标人、投标人串通损害国家利益、社会公共利益或者他人合法权益的；</w:t>
      </w:r>
    </w:p>
    <w:p w14:paraId="362F2ADC">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（三）招标人以不合理的条件限制或者排斥潜在投标人的，对潜在投标人实行歧视待遇的，强制要求投标人组成联合体共同投标的，或者限制投标人之间竞争的；</w:t>
      </w:r>
    </w:p>
    <w:p w14:paraId="39ABD654">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（四）依法必须进行招标的项目的招标人向他人透露已获取招标文件的潜在投标人的名称、数量或者可能影响公平竞争的有关招标投标的其他情况的，或者泄露标底的；</w:t>
      </w:r>
    </w:p>
    <w:p w14:paraId="19FB3475">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（五）投标人相互串通投标或者与招标人串通投标的，投标人以向招标人或者评标委员会成员行贿的手段谋取中标的； </w:t>
      </w:r>
    </w:p>
    <w:p w14:paraId="30011665">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（六）投标人以他人名义投标或者以其他方式弄虚作假，骗取中标的；</w:t>
      </w:r>
    </w:p>
    <w:p w14:paraId="42958EA7">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（七）依法必须进行招标的项目，招标人违反法律规定，与投标人就投标价格、投标方案等实质性内容进行谈判的；</w:t>
      </w:r>
    </w:p>
    <w:p w14:paraId="46076E23">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5E8D610C">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（九）招标人在评标委员会依法推荐的中标候选人以外确定中标人的，依法必须进行招标的项目在所有投标被评标委员会否决后自行确定中标人的； </w:t>
      </w:r>
    </w:p>
    <w:p w14:paraId="77A5064B">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（十）中标人将中标项目转让给他人的，将中标项目肢解后分别转让给他人的，违反法律规定将中标项目的部分主体、关键 性工作分包给他人的，或者分包人再次分包的； </w:t>
      </w:r>
    </w:p>
    <w:p w14:paraId="2814994B">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（十一）招标人与中标人不按照招标文件和中标人的投标文件订立合同的，或者招标人、中标人订立背离合同实质性内容的协议的； </w:t>
      </w:r>
    </w:p>
    <w:p w14:paraId="03E1CCC5">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（十二）中标人不按照与招标人订立的合同履行义务，情节严重的； </w:t>
      </w:r>
    </w:p>
    <w:p w14:paraId="7CEB91C0">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十三）采购人、采购代理机构存在应当采用公开招标方式而擅自采用其他方式采购，擅自提高采购标准，以不合理的条件对投标人实行差别待遇或者歧视待遇，在招标采购过程中与投标人进行协商谈判，中标、成交通知书发出后不与中标、成交投标人签订采购合同，或者拒绝有关部门依法实施监督检查等情形的；</w:t>
      </w:r>
    </w:p>
    <w:p w14:paraId="1789EC84">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十四）采购人、采购代理机构及其工作人员存在与投标人或者采购代理机构恶意串通，在采购过程中接受贿赂或者获取其他不正当利益，在有关部门依法实施的监督检查中提供虚假情况，或者开标前泄露标底等情形的；</w:t>
      </w:r>
    </w:p>
    <w:p w14:paraId="510756F1">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（十五）采购人对应当实行集中采购的政府采购项目，不委托集中采购机构实行集中采购的； </w:t>
      </w:r>
    </w:p>
    <w:p w14:paraId="7EB7378B">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（十六）采购人、采购代理机构违反法律规定隐匿、销毁应当保存的采购文件或者伪造、变造采购文件的； </w:t>
      </w:r>
    </w:p>
    <w:p w14:paraId="5717248B">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十七）投标人存在提供虚假材料谋取中标、成交，采取不正当手段诋毁、排挤其他投标人，与采购人、其他投标人或者采购代理机构恶意串通，向采购人、采购代理机构行贿或者提供其他不正当利益，在招标采购过程中与采购人进行协商谈判，或拒绝有关部门监督检查或者提供虚假情况等情形的； </w:t>
      </w:r>
    </w:p>
    <w:p w14:paraId="715D5165">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（十八）疫苗生产企业向县级疾病预防控制机构以外的单位或者个人销售第二类疫苗的； </w:t>
      </w:r>
    </w:p>
    <w:p w14:paraId="6E7F7151">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（十九）存在其他违反公共资源交易法律法规行为的。</w:t>
      </w:r>
    </w:p>
    <w:p w14:paraId="31372694">
      <w:pPr>
        <w:spacing w:line="440" w:lineRule="exact"/>
        <w:ind w:firstLine="422" w:firstLineChars="200"/>
        <w:jc w:val="left"/>
        <w:rPr>
          <w:rFonts w:ascii="宋体" w:hAnsi="宋体" w:cs="宋体"/>
          <w:color w:val="auto"/>
          <w:szCs w:val="21"/>
        </w:rPr>
      </w:pPr>
      <w:r>
        <w:rPr>
          <w:rFonts w:hint="eastAsia" w:ascii="宋体" w:hAnsi="宋体" w:cs="宋体"/>
          <w:b/>
          <w:color w:val="auto"/>
          <w:szCs w:val="21"/>
        </w:rPr>
        <w:t>依据：《关于对公共资源交易领域严重失信主体开展联合惩戒的备忘录》（发改法规〔2018〕457号）</w:t>
      </w:r>
    </w:p>
    <w:p w14:paraId="151AFEE1">
      <w:pPr>
        <w:spacing w:line="440" w:lineRule="exact"/>
        <w:ind w:firstLine="422" w:firstLineChars="200"/>
        <w:jc w:val="left"/>
        <w:rPr>
          <w:rFonts w:ascii="宋体" w:hAnsi="宋体" w:cs="宋体"/>
          <w:b/>
          <w:bCs/>
          <w:color w:val="auto"/>
          <w:szCs w:val="21"/>
        </w:rPr>
      </w:pPr>
      <w:r>
        <w:rPr>
          <w:rFonts w:hint="eastAsia" w:ascii="宋体" w:hAnsi="宋体" w:cs="宋体"/>
          <w:b/>
          <w:color w:val="auto"/>
          <w:szCs w:val="21"/>
        </w:rPr>
        <w:t>四、</w:t>
      </w:r>
      <w:r>
        <w:rPr>
          <w:rFonts w:hint="eastAsia" w:ascii="宋体" w:hAnsi="宋体" w:cs="宋体"/>
          <w:b/>
          <w:bCs/>
          <w:color w:val="auto"/>
          <w:szCs w:val="21"/>
        </w:rPr>
        <w:t>社会保险领域严重失信行为</w:t>
      </w:r>
    </w:p>
    <w:p w14:paraId="09405E5F">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（一）用人单位未按相关规定参加社会保险且拒不整改的； </w:t>
      </w:r>
    </w:p>
    <w:p w14:paraId="1888891F">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（二）用人单位未如实申报社会保险缴费基数且拒不整改的； </w:t>
      </w:r>
    </w:p>
    <w:p w14:paraId="38CC3BC2">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（三）应缴纳社会保险费却拒不缴纳的； </w:t>
      </w:r>
    </w:p>
    <w:p w14:paraId="08CD2392">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（四）隐匿、转移、侵占、挪用社会保险费款、基金或者违规投资运营的；</w:t>
      </w:r>
    </w:p>
    <w:p w14:paraId="6CD1EAC5">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（五）以欺诈、伪造证明材料或者其他手段参加、申报社会保险和骗取社会保险基金支出或社会保险待遇的； </w:t>
      </w:r>
    </w:p>
    <w:p w14:paraId="4D2EEC54">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（六）非法获取、出售或变相交易社会保险个人权益数据的； </w:t>
      </w:r>
    </w:p>
    <w:p w14:paraId="40DFE74E">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（七）社会保险服务机构违反服务协议或相关规定的； </w:t>
      </w:r>
    </w:p>
    <w:p w14:paraId="7377A7AF">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（八）拒绝协助社会保险行政部门、经办机构对事故和问题进 行调查核实的；拒绝接受或协助税务部门对社会保险实施监督检查， 不如实提供与社会保险相关各项资料的； </w:t>
      </w:r>
    </w:p>
    <w:p w14:paraId="59CB6442">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（九）其他违反法律法规规定的。</w:t>
      </w:r>
    </w:p>
    <w:p w14:paraId="3FC5B8C0">
      <w:pPr>
        <w:spacing w:line="440" w:lineRule="exact"/>
        <w:ind w:firstLine="422" w:firstLineChars="200"/>
        <w:jc w:val="left"/>
        <w:rPr>
          <w:rFonts w:ascii="宋体" w:hAnsi="宋体" w:cs="宋体"/>
          <w:color w:val="auto"/>
          <w:szCs w:val="21"/>
        </w:rPr>
      </w:pPr>
      <w:r>
        <w:rPr>
          <w:rFonts w:hint="eastAsia" w:ascii="宋体" w:hAnsi="宋体" w:cs="宋体"/>
          <w:b/>
          <w:color w:val="auto"/>
          <w:szCs w:val="21"/>
        </w:rPr>
        <w:t>依据：《关于对社会保险领域严重失信企业及其有关人员实施联合惩戒的合作备忘录》（发改财金〔2018〕1704号）</w:t>
      </w:r>
    </w:p>
    <w:p w14:paraId="11A9D4CB">
      <w:pPr>
        <w:spacing w:line="440" w:lineRule="exact"/>
        <w:ind w:firstLine="422" w:firstLineChars="200"/>
        <w:jc w:val="left"/>
        <w:rPr>
          <w:rFonts w:ascii="宋体" w:hAnsi="宋体" w:cs="宋体"/>
          <w:b/>
          <w:bCs/>
          <w:color w:val="auto"/>
          <w:szCs w:val="21"/>
        </w:rPr>
      </w:pPr>
      <w:r>
        <w:rPr>
          <w:rFonts w:hint="eastAsia" w:ascii="宋体" w:hAnsi="宋体" w:cs="宋体"/>
          <w:b/>
          <w:color w:val="auto"/>
          <w:szCs w:val="21"/>
        </w:rPr>
        <w:t>五、建筑市场领域</w:t>
      </w:r>
      <w:r>
        <w:rPr>
          <w:rFonts w:hint="eastAsia" w:ascii="宋体" w:hAnsi="宋体" w:cs="宋体"/>
          <w:b/>
          <w:bCs/>
          <w:color w:val="auto"/>
          <w:szCs w:val="21"/>
        </w:rPr>
        <w:t>严重失信行为</w:t>
      </w:r>
    </w:p>
    <w:p w14:paraId="28BA1446">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（一）利用虚假材料、以欺骗手段取得企业资质的；</w:t>
      </w:r>
    </w:p>
    <w:p w14:paraId="53B557D0">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（二）发生转包、出借资质，受到行政处罚的；</w:t>
      </w:r>
    </w:p>
    <w:p w14:paraId="2BE72CA7">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（三）发生重大及以上工程质量安全事故，或1年内累计发生2次及以上较大工程质量安全事故，或发生性质恶劣、危害性严重、社会影响大的较大工程质量安全事故，受到行政处罚的；</w:t>
      </w:r>
    </w:p>
    <w:p w14:paraId="68D85E0A">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（四）经法院判决或仲裁机构裁决，认定为拖欠工程款,且拒不履行生效法律文书确定的义务的。</w:t>
      </w:r>
    </w:p>
    <w:p w14:paraId="68B81B82">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各级住房城乡建设主管部门应当参照建筑市场主体“黑名单”，对被人力资源社会保障主管部门列入拖欠农民工工资“黑名单”的建筑市场各方主体加强监管。</w:t>
      </w:r>
    </w:p>
    <w:p w14:paraId="402B53ED">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依据：《建筑市场信用管理暂行办法》（建市〔2017〕241号）</w:t>
      </w:r>
    </w:p>
    <w:p w14:paraId="122DFB8F">
      <w:pPr>
        <w:spacing w:line="440" w:lineRule="exact"/>
        <w:ind w:firstLine="422" w:firstLineChars="200"/>
        <w:jc w:val="left"/>
        <w:rPr>
          <w:rFonts w:ascii="宋体" w:hAnsi="宋体" w:cs="宋体"/>
          <w:color w:val="auto"/>
          <w:szCs w:val="21"/>
        </w:rPr>
      </w:pPr>
      <w:r>
        <w:rPr>
          <w:rFonts w:hint="eastAsia" w:ascii="宋体" w:hAnsi="宋体" w:cs="宋体"/>
          <w:b/>
          <w:color w:val="auto"/>
          <w:szCs w:val="21"/>
        </w:rPr>
        <w:t>六、政府采购严重失信行为</w:t>
      </w:r>
    </w:p>
    <w:p w14:paraId="1781C579">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投标人、采购代理机构在三年内受到财政部门作出下列情形之一的行政处罚，列入政府采购严重违法失信行为记录名单。</w:t>
      </w:r>
    </w:p>
    <w:p w14:paraId="6DA2BB05">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（一）三万元以上罚款；</w:t>
      </w:r>
    </w:p>
    <w:p w14:paraId="72AE730E">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（二）在一至三年内禁止参加政府采购活动（处罚期限届满的除外）；</w:t>
      </w:r>
    </w:p>
    <w:p w14:paraId="57EB2015">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（三）在一至三年内禁止代理政府采购业务（处罚期限届满的除外）；</w:t>
      </w:r>
    </w:p>
    <w:p w14:paraId="04E8C1D7">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（四）撤销政府采购代理机构资格（仅针对《政府采购法》第78条修改前作出的处罚决定）。</w:t>
      </w:r>
    </w:p>
    <w:p w14:paraId="309E03CC">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依据：《关于报送政府采购严重违法失信行为信息记录的通知》</w:t>
      </w:r>
      <w:r>
        <w:rPr>
          <w:rFonts w:hint="eastAsia" w:ascii="宋体" w:hAnsi="宋体" w:cs="宋体"/>
          <w:b/>
          <w:color w:val="auto"/>
          <w:szCs w:val="21"/>
        </w:rPr>
        <w:t>（财办库〔2014〕526号）</w:t>
      </w:r>
    </w:p>
    <w:p w14:paraId="08E43035">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七、水利建设领域严重失信行为</w:t>
      </w:r>
    </w:p>
    <w:p w14:paraId="3339C886">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（一）1年内不良行为记录累计扣分达到20分的；</w:t>
      </w:r>
    </w:p>
    <w:p w14:paraId="2B352CE6">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（二）"重点关注名单"公开期满后仍不整改的；</w:t>
      </w:r>
    </w:p>
    <w:p w14:paraId="4B1ABA8E">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（三）存在以下严重危害人民群众身体健康、生命安全和工程质量，以及特别严重违规行为之一的：</w:t>
      </w:r>
    </w:p>
    <w:p w14:paraId="239CF31F">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1.发生重大、特大质量或安全事故，并负有直接责任的；</w:t>
      </w:r>
    </w:p>
    <w:p w14:paraId="147AB5DD">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2.在单位公开信息、工程相关技术成果和工程建设过程中隐瞒真实情况、弄虚作假，提供虚假材料，谋取不正当利益的；</w:t>
      </w:r>
    </w:p>
    <w:p w14:paraId="1937032D">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3.违反有关法律、法规、规章、政策、技术标准、设计文件、合同等有关规定开展工作造成的工程质量问题，经处理后仍影响工程正常使用或减少工程使用寿命的；</w:t>
      </w:r>
    </w:p>
    <w:p w14:paraId="1686BFE1">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4.违反规定施工，造成生态环境严重破坏且拒不修复的；</w:t>
      </w:r>
    </w:p>
    <w:p w14:paraId="5391EBD6">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5.被证实恶意制造工程质量缺陷或质量隐患的；</w:t>
      </w:r>
    </w:p>
    <w:p w14:paraId="284FBD44">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6.其他违反法律法规，造成严重后果或社会危害较大的。</w:t>
      </w:r>
    </w:p>
    <w:p w14:paraId="2052233A">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（四）存在以下严重破坏市场公平竞争秩序和社会正常秩序行为之一的：</w:t>
      </w:r>
    </w:p>
    <w:p w14:paraId="0800A275">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1.不按合同约定，恶意拖欠承包人项目款的；</w:t>
      </w:r>
    </w:p>
    <w:p w14:paraId="7B7C4C03">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2.隐瞒有关情况或者提供虚假材料申请资质的，在全国水利建设市场监管服务平台公开虚假信息的，以欺骗、贿赂等不正当手段取得资质等级证书的；</w:t>
      </w:r>
    </w:p>
    <w:p w14:paraId="7C03B50C">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3.出借、借用资质证书,允许他人以本单位名义或借用他人名义等弄虚作假方式承揽业务的；</w:t>
      </w:r>
    </w:p>
    <w:p w14:paraId="291AA73E">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4.未取得相应资质或超越资质证书核定范围、营业范围承揽业务的；</w:t>
      </w:r>
    </w:p>
    <w:p w14:paraId="71D66EE6">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5.操纵招标过程，谋取不正当利益的；</w:t>
      </w:r>
    </w:p>
    <w:p w14:paraId="05E28A47">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6.与招标人或投标人串通投标的；</w:t>
      </w:r>
    </w:p>
    <w:p w14:paraId="1B07352C">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7.以向招标人或评标委员会成员行贿的手段谋取中标的；</w:t>
      </w:r>
    </w:p>
    <w:p w14:paraId="5E0D0472">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8.中标后，无正当理由不签订合同的；</w:t>
      </w:r>
    </w:p>
    <w:p w14:paraId="238F91E3">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9.转包或违法分包所承揽业务的；</w:t>
      </w:r>
    </w:p>
    <w:p w14:paraId="478E754E">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10.弄虚作假，以欺诈手段降低工程或设备质量的；</w:t>
      </w:r>
    </w:p>
    <w:p w14:paraId="30B308F1">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11.单位行贿、受贿，受到刑事处罚的；</w:t>
      </w:r>
    </w:p>
    <w:p w14:paraId="3E4BC86B">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12.逃税骗税、恶意逃废债务的；</w:t>
      </w:r>
    </w:p>
    <w:p w14:paraId="6CD166CD">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13.参与非法集资，受到刑事处罚的；</w:t>
      </w:r>
    </w:p>
    <w:p w14:paraId="550E7F80">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14.在签订、履行合同过程中，存在合同欺诈行为，受到刑事处罚的；</w:t>
      </w:r>
    </w:p>
    <w:p w14:paraId="06269715">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15.虚构工程项目，套取资金的；</w:t>
      </w:r>
    </w:p>
    <w:p w14:paraId="77CD5FA1">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16.克扣、无故拖欠农民工工资报酬，数额达到认定拒不支付劳动报酬罪数额标准的；</w:t>
      </w:r>
    </w:p>
    <w:p w14:paraId="5E693E0F">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17.发生社会公共事件，影响较大，并负有直接责任的。</w:t>
      </w:r>
    </w:p>
    <w:p w14:paraId="62FE3AB7">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（五）存在以下拒不履行法定义务，严重影响司法机关、行政机关公信力行为之一的：</w:t>
      </w:r>
    </w:p>
    <w:p w14:paraId="08A982FF">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1.发生事故拒绝接受调查或拒绝提供有关资料的；</w:t>
      </w:r>
    </w:p>
    <w:p w14:paraId="6570F562">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2.拒不执行生效的行政处罚决定的；</w:t>
      </w:r>
    </w:p>
    <w:p w14:paraId="6CCFAB7E">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3.拒不执行仲裁、法院判决结果的。</w:t>
      </w:r>
    </w:p>
    <w:p w14:paraId="717AA097">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（六）被相关联合惩戒部门列入"黑名单"，符合联合惩戒措施的。</w:t>
      </w:r>
    </w:p>
    <w:p w14:paraId="2D19A450">
      <w:pPr>
        <w:pStyle w:val="34"/>
        <w:shd w:val="clear" w:color="auto" w:fill="FFFFFF"/>
        <w:spacing w:before="0" w:beforeAutospacing="0" w:after="0" w:afterAutospacing="0" w:line="440" w:lineRule="exact"/>
        <w:ind w:firstLine="420" w:firstLineChars="200"/>
        <w:rPr>
          <w:kern w:val="2"/>
          <w:sz w:val="21"/>
          <w:szCs w:val="21"/>
        </w:rPr>
      </w:pPr>
      <w:r>
        <w:rPr>
          <w:rFonts w:hint="eastAsia"/>
          <w:kern w:val="2"/>
          <w:sz w:val="21"/>
          <w:szCs w:val="21"/>
        </w:rPr>
        <w:t>生产建设项目水土保持市场主体"黑名单"列入标准见《水利建设市场主体信用信息管理办法》附件</w:t>
      </w:r>
    </w:p>
    <w:p w14:paraId="01D81CE2">
      <w:pPr>
        <w:ind w:firstLine="615"/>
        <w:rPr>
          <w:rFonts w:ascii="宋体" w:hAnsi="宋体" w:cs="宋体"/>
          <w:b/>
          <w:bCs/>
          <w:color w:val="auto"/>
          <w:szCs w:val="21"/>
        </w:rPr>
      </w:pPr>
      <w:r>
        <w:rPr>
          <w:rFonts w:hint="eastAsia" w:ascii="宋体" w:hAnsi="宋体" w:cs="宋体"/>
          <w:b/>
          <w:bCs/>
          <w:color w:val="auto"/>
          <w:szCs w:val="21"/>
        </w:rPr>
        <w:t>依据：《水利建设市场主体信用评价管理办法》水建设〔2019〕307号、《水利建设市场主体信用信息管理办法》水建设〔2019〕306号</w:t>
      </w:r>
    </w:p>
    <w:p w14:paraId="14B3D237">
      <w:pPr>
        <w:ind w:firstLine="615"/>
        <w:rPr>
          <w:rFonts w:ascii="宋体" w:hAnsi="宋体" w:cs="宋体"/>
          <w:color w:val="auto"/>
          <w:szCs w:val="21"/>
        </w:rPr>
      </w:pPr>
    </w:p>
    <w:p w14:paraId="279652F1">
      <w:pPr>
        <w:ind w:firstLine="615"/>
        <w:rPr>
          <w:rFonts w:ascii="宋体" w:hAnsi="宋体" w:cs="宋体"/>
          <w:b/>
          <w:color w:val="auto"/>
          <w:szCs w:val="21"/>
        </w:rPr>
      </w:pPr>
      <w:r>
        <w:rPr>
          <w:rFonts w:hint="eastAsia" w:ascii="宋体" w:hAnsi="宋体" w:cs="宋体"/>
          <w:b/>
          <w:color w:val="auto"/>
          <w:szCs w:val="21"/>
        </w:rPr>
        <w:t>未列出的其他类别严重失信行为，由招标人（代理机构）根据各类别行业主管部门下发的联合惩戒文件进行判断。</w:t>
      </w:r>
    </w:p>
    <w:p w14:paraId="47C42084">
      <w:pPr>
        <w:spacing w:line="440" w:lineRule="exact"/>
        <w:jc w:val="left"/>
        <w:rPr>
          <w:rFonts w:ascii="宋体" w:hAnsi="宋体" w:cs="宋体"/>
          <w:b/>
          <w:color w:val="auto"/>
          <w:szCs w:val="21"/>
        </w:rPr>
      </w:pPr>
    </w:p>
    <w:p w14:paraId="2BABE131">
      <w:pPr>
        <w:pStyle w:val="2"/>
        <w:rPr>
          <w:rFonts w:ascii="宋体" w:hAnsi="宋体" w:eastAsia="宋体" w:cs="宋体"/>
          <w:color w:val="auto"/>
        </w:rPr>
      </w:pPr>
      <w:r>
        <w:rPr>
          <w:rFonts w:hint="eastAsia" w:ascii="宋体" w:hAnsi="宋体" w:eastAsia="宋体" w:cs="宋体"/>
          <w:b/>
          <w:color w:val="auto"/>
          <w:sz w:val="24"/>
          <w:szCs w:val="24"/>
        </w:rPr>
        <w:br w:type="page"/>
      </w:r>
      <w:bookmarkStart w:id="122" w:name="_Toc7107"/>
      <w:bookmarkStart w:id="123" w:name="_Toc35549727"/>
      <w:bookmarkStart w:id="124" w:name="_Toc35549383"/>
      <w:bookmarkStart w:id="125" w:name="_Toc31633"/>
      <w:bookmarkStart w:id="126" w:name="_Toc3096"/>
      <w:r>
        <w:rPr>
          <w:rFonts w:hint="eastAsia" w:ascii="宋体" w:hAnsi="宋体" w:eastAsia="宋体" w:cs="宋体"/>
          <w:color w:val="auto"/>
        </w:rPr>
        <w:t>第七章  采购人、采购代理机构对本招标文件的确认</w:t>
      </w:r>
      <w:bookmarkEnd w:id="122"/>
      <w:bookmarkEnd w:id="123"/>
      <w:bookmarkEnd w:id="124"/>
      <w:bookmarkEnd w:id="125"/>
      <w:bookmarkEnd w:id="126"/>
    </w:p>
    <w:tbl>
      <w:tblPr>
        <w:tblStyle w:val="40"/>
        <w:tblpPr w:leftFromText="180" w:rightFromText="180" w:vertAnchor="text" w:horzAnchor="page" w:tblpX="1687" w:tblpY="419"/>
        <w:tblOverlap w:val="never"/>
        <w:tblW w:w="0" w:type="auto"/>
        <w:tblInd w:w="0" w:type="dxa"/>
        <w:tblLayout w:type="fixed"/>
        <w:tblCellMar>
          <w:top w:w="0" w:type="dxa"/>
          <w:left w:w="108" w:type="dxa"/>
          <w:bottom w:w="0" w:type="dxa"/>
          <w:right w:w="108" w:type="dxa"/>
        </w:tblCellMar>
      </w:tblPr>
      <w:tblGrid>
        <w:gridCol w:w="9000"/>
      </w:tblGrid>
      <w:tr w14:paraId="63864FD1">
        <w:tblPrEx>
          <w:tblCellMar>
            <w:top w:w="0" w:type="dxa"/>
            <w:left w:w="108" w:type="dxa"/>
            <w:bottom w:w="0" w:type="dxa"/>
            <w:right w:w="108" w:type="dxa"/>
          </w:tblCellMar>
        </w:tblPrEx>
        <w:trPr>
          <w:trHeight w:val="4476" w:hRule="atLeast"/>
        </w:trPr>
        <w:tc>
          <w:tcPr>
            <w:tcW w:w="9000" w:type="dxa"/>
            <w:tcBorders>
              <w:top w:val="single" w:color="auto" w:sz="4" w:space="0"/>
              <w:left w:val="single" w:color="auto" w:sz="4" w:space="0"/>
              <w:bottom w:val="single" w:color="auto" w:sz="4" w:space="0"/>
              <w:right w:val="single" w:color="auto" w:sz="4" w:space="0"/>
            </w:tcBorders>
          </w:tcPr>
          <w:p w14:paraId="49DDAF06">
            <w:pPr>
              <w:spacing w:line="500" w:lineRule="exact"/>
              <w:ind w:firstLine="560" w:firstLineChars="200"/>
              <w:rPr>
                <w:rFonts w:ascii="宋体" w:hAnsi="宋体" w:cs="宋体"/>
                <w:color w:val="auto"/>
                <w:sz w:val="28"/>
                <w:szCs w:val="28"/>
              </w:rPr>
            </w:pPr>
          </w:p>
          <w:p w14:paraId="0F4EDD5E">
            <w:pPr>
              <w:spacing w:line="360" w:lineRule="auto"/>
              <w:ind w:firstLine="280" w:firstLineChars="100"/>
              <w:rPr>
                <w:rFonts w:ascii="宋体" w:hAnsi="宋体" w:cs="宋体"/>
                <w:color w:val="auto"/>
                <w:sz w:val="28"/>
                <w:szCs w:val="28"/>
              </w:rPr>
            </w:pPr>
            <w:r>
              <w:rPr>
                <w:rFonts w:hint="eastAsia" w:ascii="宋体" w:hAnsi="宋体" w:cs="宋体"/>
                <w:color w:val="auto"/>
                <w:sz w:val="28"/>
                <w:szCs w:val="28"/>
              </w:rPr>
              <w:t>我单位对</w:t>
            </w:r>
            <w:r>
              <w:rPr>
                <w:rFonts w:hint="eastAsia" w:ascii="宋体" w:hAnsi="宋体" w:cs="宋体"/>
                <w:color w:val="auto"/>
                <w:sz w:val="28"/>
                <w:szCs w:val="28"/>
                <w:u w:val="single"/>
              </w:rPr>
              <w:t xml:space="preserve"> 滁州市机电工程学校中心机房维保项目 </w:t>
            </w:r>
            <w:r>
              <w:rPr>
                <w:rFonts w:hint="eastAsia" w:ascii="宋体" w:hAnsi="宋体" w:cs="宋体"/>
                <w:color w:val="auto"/>
                <w:sz w:val="28"/>
                <w:szCs w:val="28"/>
              </w:rPr>
              <w:t>招标文件进行确认。</w:t>
            </w:r>
          </w:p>
          <w:p w14:paraId="4B717D64">
            <w:pPr>
              <w:spacing w:line="360" w:lineRule="auto"/>
              <w:ind w:firstLine="560" w:firstLineChars="200"/>
              <w:rPr>
                <w:rFonts w:ascii="宋体" w:hAnsi="宋体" w:cs="宋体"/>
                <w:color w:val="auto"/>
                <w:sz w:val="28"/>
                <w:szCs w:val="28"/>
              </w:rPr>
            </w:pPr>
            <w:r>
              <w:rPr>
                <w:rFonts w:hint="eastAsia" w:ascii="宋体" w:cs="宋体"/>
                <w:color w:val="auto"/>
                <w:sz w:val="28"/>
                <w:szCs w:val="28"/>
              </w:rPr>
              <w:t>采购人</w:t>
            </w:r>
            <w:r>
              <w:rPr>
                <w:rFonts w:hint="eastAsia" w:ascii="宋体" w:hAnsi="宋体" w:cs="宋体"/>
                <w:color w:val="auto"/>
                <w:sz w:val="28"/>
                <w:szCs w:val="28"/>
              </w:rPr>
              <w:t xml:space="preserve">：滁州市机电工程学校 </w:t>
            </w:r>
          </w:p>
          <w:p w14:paraId="1B4FF272">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 xml:space="preserve">委托代理人：许老师 </w:t>
            </w:r>
          </w:p>
          <w:p w14:paraId="440C90C4">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联系电话：13855080927</w:t>
            </w:r>
          </w:p>
          <w:p w14:paraId="02660465">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 xml:space="preserve"> </w:t>
            </w:r>
          </w:p>
          <w:p w14:paraId="66D04EBB">
            <w:pPr>
              <w:pStyle w:val="18"/>
              <w:rPr>
                <w:rFonts w:ascii="宋体" w:hAnsi="宋体" w:eastAsia="宋体" w:cs="宋体"/>
                <w:color w:val="auto"/>
                <w:sz w:val="28"/>
                <w:szCs w:val="28"/>
              </w:rPr>
            </w:pPr>
          </w:p>
          <w:p w14:paraId="3F0F8F71">
            <w:pPr>
              <w:rPr>
                <w:rFonts w:ascii="宋体" w:hAnsi="宋体" w:cs="宋体"/>
                <w:color w:val="auto"/>
                <w:sz w:val="28"/>
                <w:szCs w:val="28"/>
              </w:rPr>
            </w:pPr>
          </w:p>
          <w:p w14:paraId="2E4A50FD">
            <w:pPr>
              <w:pStyle w:val="18"/>
              <w:rPr>
                <w:color w:val="auto"/>
              </w:rPr>
            </w:pPr>
          </w:p>
          <w:p w14:paraId="122AB1D9">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 xml:space="preserve">                                          （单位盖章）</w:t>
            </w:r>
          </w:p>
          <w:p w14:paraId="1684BE1F">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 xml:space="preserve">                                           2024年</w:t>
            </w:r>
            <w:r>
              <w:rPr>
                <w:rFonts w:hint="eastAsia" w:ascii="宋体" w:hAnsi="宋体" w:cs="宋体"/>
                <w:color w:val="auto"/>
                <w:sz w:val="28"/>
                <w:szCs w:val="28"/>
                <w:lang w:val="en-US" w:eastAsia="zh-CN"/>
              </w:rPr>
              <w:t>09</w:t>
            </w:r>
            <w:r>
              <w:rPr>
                <w:rFonts w:hint="eastAsia" w:ascii="宋体" w:hAnsi="宋体" w:cs="宋体"/>
                <w:color w:val="auto"/>
                <w:sz w:val="28"/>
                <w:szCs w:val="28"/>
              </w:rPr>
              <w:t>月</w:t>
            </w:r>
          </w:p>
        </w:tc>
      </w:tr>
      <w:tr w14:paraId="167AFBFB">
        <w:tblPrEx>
          <w:tblCellMar>
            <w:top w:w="0" w:type="dxa"/>
            <w:left w:w="108" w:type="dxa"/>
            <w:bottom w:w="0" w:type="dxa"/>
            <w:right w:w="108" w:type="dxa"/>
          </w:tblCellMar>
        </w:tblPrEx>
        <w:trPr>
          <w:trHeight w:val="5297" w:hRule="atLeast"/>
        </w:trPr>
        <w:tc>
          <w:tcPr>
            <w:tcW w:w="9000" w:type="dxa"/>
            <w:tcBorders>
              <w:top w:val="single" w:color="auto" w:sz="4" w:space="0"/>
              <w:left w:val="single" w:color="auto" w:sz="4" w:space="0"/>
              <w:bottom w:val="single" w:color="auto" w:sz="4" w:space="0"/>
              <w:right w:val="single" w:color="auto" w:sz="4" w:space="0"/>
            </w:tcBorders>
          </w:tcPr>
          <w:p w14:paraId="69E7BA98">
            <w:pPr>
              <w:spacing w:line="440" w:lineRule="exact"/>
              <w:rPr>
                <w:rFonts w:ascii="宋体" w:hAnsi="宋体" w:cs="宋体"/>
                <w:color w:val="auto"/>
                <w:sz w:val="28"/>
                <w:szCs w:val="28"/>
              </w:rPr>
            </w:pPr>
          </w:p>
          <w:p w14:paraId="47522860">
            <w:pPr>
              <w:spacing w:line="520" w:lineRule="exact"/>
              <w:ind w:firstLine="560" w:firstLineChars="200"/>
              <w:rPr>
                <w:rFonts w:ascii="宋体" w:cs="宋体"/>
                <w:color w:val="auto"/>
                <w:sz w:val="28"/>
                <w:szCs w:val="28"/>
              </w:rPr>
            </w:pPr>
            <w:r>
              <w:rPr>
                <w:rFonts w:hint="eastAsia" w:ascii="宋体" w:cs="宋体"/>
                <w:color w:val="auto"/>
                <w:sz w:val="28"/>
                <w:szCs w:val="28"/>
              </w:rPr>
              <w:t>采购代理机构：</w:t>
            </w:r>
            <w:r>
              <w:rPr>
                <w:rFonts w:hint="eastAsia" w:ascii="宋体" w:hAnsi="宋体"/>
                <w:color w:val="auto"/>
                <w:sz w:val="28"/>
                <w:szCs w:val="28"/>
              </w:rPr>
              <w:t>安徽人和项目管理有限公司</w:t>
            </w:r>
          </w:p>
          <w:p w14:paraId="23C2073B">
            <w:pPr>
              <w:spacing w:line="520" w:lineRule="exact"/>
              <w:ind w:firstLine="560" w:firstLineChars="200"/>
              <w:rPr>
                <w:rFonts w:ascii="宋体" w:cs="宋体"/>
                <w:color w:val="auto"/>
                <w:sz w:val="28"/>
                <w:szCs w:val="28"/>
              </w:rPr>
            </w:pPr>
            <w:r>
              <w:rPr>
                <w:rFonts w:hint="eastAsia" w:ascii="宋体" w:cs="宋体"/>
                <w:color w:val="auto"/>
                <w:sz w:val="28"/>
                <w:szCs w:val="28"/>
              </w:rPr>
              <w:t>联系人：</w:t>
            </w:r>
            <w:r>
              <w:rPr>
                <w:rFonts w:hint="eastAsia" w:ascii="宋体" w:hAnsi="宋体"/>
                <w:color w:val="auto"/>
                <w:sz w:val="28"/>
                <w:szCs w:val="28"/>
              </w:rPr>
              <w:t>索小娟、陈浩</w:t>
            </w:r>
          </w:p>
          <w:p w14:paraId="7B1FE500">
            <w:pPr>
              <w:spacing w:line="520" w:lineRule="exact"/>
              <w:ind w:firstLine="560" w:firstLineChars="200"/>
              <w:rPr>
                <w:rFonts w:ascii="宋体" w:cs="宋体"/>
                <w:color w:val="auto"/>
                <w:sz w:val="28"/>
                <w:szCs w:val="28"/>
              </w:rPr>
            </w:pPr>
            <w:r>
              <w:rPr>
                <w:rFonts w:hint="eastAsia" w:ascii="宋体" w:cs="宋体"/>
                <w:color w:val="auto"/>
                <w:sz w:val="28"/>
                <w:szCs w:val="28"/>
              </w:rPr>
              <w:t>电话：</w:t>
            </w:r>
            <w:r>
              <w:rPr>
                <w:rFonts w:hint="eastAsia" w:ascii="宋体" w:hAnsi="宋体"/>
                <w:color w:val="auto"/>
                <w:sz w:val="28"/>
                <w:szCs w:val="28"/>
              </w:rPr>
              <w:t xml:space="preserve">13965638745、15955500407  </w:t>
            </w:r>
          </w:p>
          <w:p w14:paraId="214ED387">
            <w:pPr>
              <w:pStyle w:val="18"/>
              <w:rPr>
                <w:rFonts w:ascii="宋体" w:hAnsi="宋体" w:eastAsia="宋体" w:cs="宋体"/>
                <w:color w:val="auto"/>
                <w:sz w:val="28"/>
                <w:szCs w:val="28"/>
              </w:rPr>
            </w:pPr>
          </w:p>
          <w:p w14:paraId="43F638A9">
            <w:pPr>
              <w:rPr>
                <w:rFonts w:ascii="宋体" w:hAnsi="宋体" w:cs="宋体"/>
                <w:color w:val="auto"/>
                <w:sz w:val="28"/>
                <w:szCs w:val="28"/>
              </w:rPr>
            </w:pPr>
          </w:p>
          <w:p w14:paraId="27B1C7C2">
            <w:pPr>
              <w:pStyle w:val="18"/>
              <w:rPr>
                <w:color w:val="auto"/>
              </w:rPr>
            </w:pPr>
          </w:p>
          <w:p w14:paraId="68F12BE8">
            <w:pPr>
              <w:spacing w:line="360" w:lineRule="auto"/>
              <w:ind w:firstLine="1960" w:firstLineChars="700"/>
              <w:rPr>
                <w:rFonts w:ascii="宋体" w:hAnsi="宋体" w:cs="宋体"/>
                <w:color w:val="auto"/>
                <w:sz w:val="28"/>
                <w:szCs w:val="28"/>
              </w:rPr>
            </w:pPr>
            <w:r>
              <w:rPr>
                <w:rFonts w:hint="eastAsia" w:ascii="宋体" w:hAnsi="宋体" w:cs="宋体"/>
                <w:color w:val="auto"/>
                <w:sz w:val="28"/>
                <w:szCs w:val="28"/>
              </w:rPr>
              <w:t xml:space="preserve">                                 （单位盖章）</w:t>
            </w:r>
          </w:p>
          <w:p w14:paraId="1EE83128">
            <w:pPr>
              <w:spacing w:line="360" w:lineRule="auto"/>
              <w:ind w:firstLine="6720" w:firstLineChars="2400"/>
              <w:rPr>
                <w:rFonts w:ascii="宋体" w:hAnsi="宋体" w:cs="宋体"/>
                <w:color w:val="auto"/>
                <w:szCs w:val="28"/>
              </w:rPr>
            </w:pPr>
            <w:r>
              <w:rPr>
                <w:rFonts w:hint="eastAsia" w:ascii="宋体" w:hAnsi="宋体" w:cs="宋体"/>
                <w:color w:val="auto"/>
                <w:sz w:val="28"/>
                <w:szCs w:val="28"/>
              </w:rPr>
              <w:t>2024年</w:t>
            </w:r>
            <w:r>
              <w:rPr>
                <w:rFonts w:hint="eastAsia" w:ascii="宋体" w:hAnsi="宋体" w:cs="宋体"/>
                <w:color w:val="auto"/>
                <w:sz w:val="28"/>
                <w:szCs w:val="28"/>
                <w:lang w:val="en-US" w:eastAsia="zh-CN"/>
              </w:rPr>
              <w:t>09</w:t>
            </w:r>
            <w:r>
              <w:rPr>
                <w:rFonts w:hint="eastAsia" w:ascii="宋体" w:hAnsi="宋体" w:cs="宋体"/>
                <w:color w:val="auto"/>
                <w:sz w:val="28"/>
                <w:szCs w:val="28"/>
              </w:rPr>
              <w:t xml:space="preserve">月  </w:t>
            </w:r>
          </w:p>
        </w:tc>
      </w:tr>
    </w:tbl>
    <w:p w14:paraId="7D0D6C0F">
      <w:pPr>
        <w:rPr>
          <w:rFonts w:ascii="宋体" w:hAnsi="宋体" w:cs="宋体"/>
          <w:color w:val="auto"/>
        </w:rPr>
      </w:pPr>
    </w:p>
    <w:sectPr>
      <w:footerReference r:id="rId7" w:type="default"/>
      <w:pgSz w:w="11906" w:h="16838"/>
      <w:pgMar w:top="1134" w:right="1417" w:bottom="1134" w:left="1417" w:header="283" w:footer="567" w:gutter="0"/>
      <w:cols w:space="720" w:num="1"/>
      <w:docGrid w:type="lines" w:linePitch="32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宋体 ! important">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长城仿宋">
    <w:altName w:val="宋体"/>
    <w:panose1 w:val="00000000000000000000"/>
    <w:charset w:val="86"/>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宋体-18030">
    <w:altName w:val="宋体"/>
    <w:panose1 w:val="00000000000000000000"/>
    <w:charset w:val="86"/>
    <w:family w:val="auto"/>
    <w:pitch w:val="default"/>
    <w:sig w:usb0="00000000" w:usb1="00000000" w:usb2="000A005E"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3B91C">
    <w:pPr>
      <w:pStyle w:val="27"/>
      <w:tabs>
        <w:tab w:val="center" w:pos="458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E9A23B">
                          <w:pPr>
                            <w:pStyle w:val="27"/>
                          </w:pPr>
                          <w:r>
                            <w:fldChar w:fldCharType="begin"/>
                          </w:r>
                          <w:r>
                            <w:instrText xml:space="preserve"> PAGE  \* MERGEFORMAT </w:instrText>
                          </w:r>
                          <w:r>
                            <w:fldChar w:fldCharType="separate"/>
                          </w:r>
                          <w:r>
                            <w:t>24</w:t>
                          </w:r>
                          <w:r>
                            <w:fldChar w:fldCharType="end"/>
                          </w: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QJdskBAACa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y&#10;de5PH6DGtIeAiWm48wNuzewHdGbZg4o2f1EQwTh293ztrhwSEfnRerVeVxgSGJsviM8en4cI6a30&#10;lmSjoRHHV7rKT+8hjalzSq7m/L02pozQuL8ciJk9LHMfOWYrDfthErT37Rn19Dj5hjpcdErMO4eN&#10;zUsyG3E29rNxDFEfOqS2LLwg3B4TkijccoURdiqMIyvqpvXKO/HnvWQ9/l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tZAl2yQEAAJoDAAAOAAAAAAAAAAEAIAAAAB4BAABkcnMvZTJvRG9j&#10;LnhtbFBLBQYAAAAABgAGAFkBAABZBQAAAAA=&#10;">
              <v:fill on="f" focussize="0,0"/>
              <v:stroke on="f"/>
              <v:imagedata o:title=""/>
              <o:lock v:ext="edit" aspectratio="f"/>
              <v:textbox inset="0mm,0mm,0mm,0mm" style="mso-fit-shape-to-text:t;">
                <w:txbxContent>
                  <w:p w14:paraId="61E9A23B">
                    <w:pPr>
                      <w:pStyle w:val="27"/>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CCD07">
    <w:pPr>
      <w:pStyle w:val="27"/>
      <w:tabs>
        <w:tab w:val="left" w:pos="3780"/>
      </w:tabs>
      <w:jc w:val="center"/>
      <w:rPr>
        <w:b/>
        <w:bCs/>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E22B6">
                          <w:pPr>
                            <w:pStyle w:val="27"/>
                          </w:pPr>
                          <w:r>
                            <w:fldChar w:fldCharType="begin"/>
                          </w:r>
                          <w:r>
                            <w:instrText xml:space="preserve"> PAGE  \* MERGEFORMAT </w:instrText>
                          </w:r>
                          <w:r>
                            <w:fldChar w:fldCharType="separate"/>
                          </w:r>
                          <w:r>
                            <w:t>24</w:t>
                          </w:r>
                          <w:r>
                            <w:fldChar w:fldCharType="end"/>
                          </w: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ROBysoBAACa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Hl&#10;T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AROBysoBAACaAwAADgAAAAAAAAABACAAAAAeAQAAZHJzL2Uyb0Rv&#10;Yy54bWxQSwUGAAAAAAYABgBZAQAAWgUAAAAA&#10;">
              <v:fill on="f" focussize="0,0"/>
              <v:stroke on="f"/>
              <v:imagedata o:title=""/>
              <o:lock v:ext="edit" aspectratio="f"/>
              <v:textbox inset="0mm,0mm,0mm,0mm" style="mso-fit-shape-to-text:t;">
                <w:txbxContent>
                  <w:p w14:paraId="43FE22B6">
                    <w:pPr>
                      <w:pStyle w:val="27"/>
                    </w:pPr>
                    <w:r>
                      <w:fldChar w:fldCharType="begin"/>
                    </w:r>
                    <w:r>
                      <w:instrText xml:space="preserve"> PAGE  \* MERGEFORMAT </w:instrText>
                    </w:r>
                    <w:r>
                      <w:fldChar w:fldCharType="separate"/>
                    </w:r>
                    <w:r>
                      <w:t>24</w:t>
                    </w:r>
                    <w:r>
                      <w:fldChar w:fldCharType="end"/>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margin">
                <wp:posOffset>5699760</wp:posOffset>
              </wp:positionH>
              <wp:positionV relativeFrom="paragraph">
                <wp:posOffset>38100</wp:posOffset>
              </wp:positionV>
              <wp:extent cx="1828800" cy="1828800"/>
              <wp:effectExtent l="0" t="0" r="0" b="0"/>
              <wp:wrapNone/>
              <wp:docPr id="1"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DF9279">
                          <w:pPr>
                            <w:pStyle w:val="27"/>
                            <w:rPr>
                              <w:b/>
                              <w:bCs/>
                              <w:sz w:val="21"/>
                              <w:szCs w:val="21"/>
                            </w:rPr>
                          </w:pPr>
                        </w:p>
                      </w:txbxContent>
                    </wps:txbx>
                    <wps:bodyPr wrap="none" lIns="0" tIns="0" rIns="0" bIns="0" upright="1">
                      <a:spAutoFit/>
                    </wps:bodyPr>
                  </wps:wsp>
                </a:graphicData>
              </a:graphic>
            </wp:anchor>
          </w:drawing>
        </mc:Choice>
        <mc:Fallback>
          <w:pict>
            <v:shape id="文本框 1039" o:spid="_x0000_s1026" o:spt="202" type="#_x0000_t202" style="position:absolute;left:0pt;margin-left:448.8pt;margin-top:3pt;height:144pt;width:144pt;mso-position-horizontal-relative:margin;mso-wrap-style:none;z-index:251659264;mso-width-relative:page;mso-height-relative:page;" filled="f" stroked="f" coordsize="21600,21600" o:gfxdata="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eesGLWAAAACgEAAA8AAAAAAAAAAQAgAAAAIgAAAGRycy9k&#10;b3ducmV2LnhtbFBLAQIUABQAAAAIAIdO4kBrHJY1ywEAAJwDAAAOAAAAAAAAAAEAIAAAACUBAABk&#10;cnMvZTJvRG9jLnhtbFBLBQYAAAAABgAGAFkBAABiBQAAAAA=&#10;">
              <v:fill on="f" focussize="0,0"/>
              <v:stroke on="f"/>
              <v:imagedata o:title=""/>
              <o:lock v:ext="edit" aspectratio="f"/>
              <v:textbox inset="0mm,0mm,0mm,0mm" style="mso-fit-shape-to-text:t;">
                <w:txbxContent>
                  <w:p w14:paraId="6BDF9279">
                    <w:pPr>
                      <w:pStyle w:val="27"/>
                      <w:rPr>
                        <w:b/>
                        <w:bCs/>
                        <w:sz w:val="21"/>
                        <w:szCs w:val="21"/>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B8C3">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chineseCounting"/>
      <w:suff w:val="space"/>
      <w:lvlText w:val="第%1章"/>
      <w:lvlJc w:val="left"/>
      <w:rPr>
        <w:rFonts w:hint="eastAsia"/>
      </w:rPr>
    </w:lvl>
  </w:abstractNum>
  <w:abstractNum w:abstractNumId="1">
    <w:nsid w:val="00000007"/>
    <w:multiLevelType w:val="singleLevel"/>
    <w:tmpl w:val="00000007"/>
    <w:lvl w:ilvl="0" w:tentative="0">
      <w:start w:val="4"/>
      <w:numFmt w:val="decimal"/>
      <w:lvlText w:val="%1."/>
      <w:lvlJc w:val="left"/>
      <w:pPr>
        <w:tabs>
          <w:tab w:val="left" w:pos="312"/>
        </w:tabs>
      </w:pPr>
    </w:lvl>
  </w:abstractNum>
  <w:abstractNum w:abstractNumId="2">
    <w:nsid w:val="0000000D"/>
    <w:multiLevelType w:val="singleLevel"/>
    <w:tmpl w:val="0000000D"/>
    <w:lvl w:ilvl="0" w:tentative="0">
      <w:start w:val="4"/>
      <w:numFmt w:val="chineseCounting"/>
      <w:suff w:val="space"/>
      <w:lvlText w:val="第%1章"/>
      <w:lvlJc w:val="left"/>
      <w:rPr>
        <w:rFonts w:hint="eastAsia"/>
      </w:rPr>
    </w:lvl>
  </w:abstractNum>
  <w:abstractNum w:abstractNumId="3">
    <w:nsid w:val="00000013"/>
    <w:multiLevelType w:val="singleLevel"/>
    <w:tmpl w:val="00000013"/>
    <w:lvl w:ilvl="0" w:tentative="0">
      <w:start w:val="7"/>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62"/>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NTdkYzVjNzI5NzI5OWYzMjUyYmIzYTUzYjcyNDEifQ=="/>
  </w:docVars>
  <w:rsids>
    <w:rsidRoot w:val="00172A27"/>
    <w:rsid w:val="00172A27"/>
    <w:rsid w:val="00281418"/>
    <w:rsid w:val="002A3770"/>
    <w:rsid w:val="002E08E5"/>
    <w:rsid w:val="003154F4"/>
    <w:rsid w:val="00471A92"/>
    <w:rsid w:val="00485522"/>
    <w:rsid w:val="00582D9E"/>
    <w:rsid w:val="005B0DD1"/>
    <w:rsid w:val="00740C5D"/>
    <w:rsid w:val="00B705BD"/>
    <w:rsid w:val="00BB1D1D"/>
    <w:rsid w:val="00EE6A27"/>
    <w:rsid w:val="071522C7"/>
    <w:rsid w:val="0B2F1357"/>
    <w:rsid w:val="0F2342B3"/>
    <w:rsid w:val="0F7455F9"/>
    <w:rsid w:val="185D1B60"/>
    <w:rsid w:val="19E2112D"/>
    <w:rsid w:val="24A92D51"/>
    <w:rsid w:val="2FA64B91"/>
    <w:rsid w:val="30221FDF"/>
    <w:rsid w:val="5BE10084"/>
    <w:rsid w:val="6E054B65"/>
    <w:rsid w:val="7E046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lang w:val="en-US" w:eastAsia="zh-CN" w:bidi="ar-SA"/>
    </w:rPr>
  </w:style>
  <w:style w:type="paragraph" w:styleId="2">
    <w:name w:val="heading 1"/>
    <w:basedOn w:val="1"/>
    <w:next w:val="1"/>
    <w:link w:val="80"/>
    <w:qFormat/>
    <w:uiPriority w:val="0"/>
    <w:pPr>
      <w:keepNext/>
      <w:tabs>
        <w:tab w:val="left" w:pos="432"/>
      </w:tabs>
      <w:spacing w:line="240" w:lineRule="auto"/>
      <w:jc w:val="center"/>
      <w:textAlignment w:val="auto"/>
      <w:outlineLvl w:val="0"/>
    </w:pPr>
    <w:rPr>
      <w:rFonts w:ascii="黑体" w:eastAsia="黑体"/>
      <w:sz w:val="32"/>
    </w:rPr>
  </w:style>
  <w:style w:type="paragraph" w:styleId="3">
    <w:name w:val="heading 2"/>
    <w:basedOn w:val="1"/>
    <w:next w:val="1"/>
    <w:link w:val="57"/>
    <w:qFormat/>
    <w:uiPriority w:val="0"/>
    <w:pPr>
      <w:keepNext/>
      <w:keepLines/>
      <w:widowControl w:val="0"/>
      <w:tabs>
        <w:tab w:val="left" w:pos="2847"/>
      </w:tabs>
      <w:adjustRightInd w:val="0"/>
      <w:spacing w:line="400" w:lineRule="exact"/>
      <w:jc w:val="left"/>
      <w:outlineLvl w:val="1"/>
    </w:pPr>
    <w:rPr>
      <w:b/>
    </w:rPr>
  </w:style>
  <w:style w:type="paragraph" w:styleId="4">
    <w:name w:val="heading 3"/>
    <w:basedOn w:val="1"/>
    <w:next w:val="1"/>
    <w:link w:val="58"/>
    <w:qFormat/>
    <w:uiPriority w:val="0"/>
    <w:pPr>
      <w:keepNext/>
      <w:keepLines/>
      <w:spacing w:line="400" w:lineRule="exact"/>
      <w:jc w:val="center"/>
      <w:outlineLvl w:val="2"/>
    </w:pPr>
    <w:rPr>
      <w:b/>
      <w:bCs/>
      <w:szCs w:val="32"/>
    </w:rPr>
  </w:style>
  <w:style w:type="paragraph" w:styleId="5">
    <w:name w:val="heading 4"/>
    <w:basedOn w:val="1"/>
    <w:next w:val="1"/>
    <w:link w:val="59"/>
    <w:qFormat/>
    <w:uiPriority w:val="0"/>
    <w:pPr>
      <w:keepNext/>
      <w:keepLines/>
      <w:spacing w:before="280" w:after="290" w:line="376" w:lineRule="atLeast"/>
      <w:outlineLvl w:val="3"/>
    </w:pPr>
    <w:rPr>
      <w:rFonts w:ascii="Arial" w:hAnsi="Arial" w:eastAsia="黑体"/>
      <w:b/>
      <w:bCs/>
      <w:sz w:val="28"/>
      <w:szCs w:val="28"/>
      <w:lang w:val="zh-CN"/>
    </w:rPr>
  </w:style>
  <w:style w:type="paragraph" w:styleId="6">
    <w:name w:val="heading 5"/>
    <w:basedOn w:val="1"/>
    <w:next w:val="1"/>
    <w:link w:val="60"/>
    <w:qFormat/>
    <w:uiPriority w:val="0"/>
    <w:pPr>
      <w:keepNext/>
      <w:keepLines/>
      <w:widowControl w:val="0"/>
      <w:spacing w:before="280" w:after="290" w:line="376" w:lineRule="auto"/>
      <w:textAlignment w:val="auto"/>
      <w:outlineLvl w:val="4"/>
    </w:pPr>
    <w:rPr>
      <w:b/>
      <w:bCs/>
      <w:sz w:val="28"/>
      <w:szCs w:val="28"/>
      <w:lang w:val="zh-CN"/>
    </w:rPr>
  </w:style>
  <w:style w:type="paragraph" w:styleId="7">
    <w:name w:val="heading 6"/>
    <w:basedOn w:val="1"/>
    <w:next w:val="1"/>
    <w:link w:val="61"/>
    <w:qFormat/>
    <w:uiPriority w:val="0"/>
    <w:pPr>
      <w:keepNext/>
      <w:keepLines/>
      <w:spacing w:before="240" w:after="64" w:line="320" w:lineRule="atLeast"/>
      <w:outlineLvl w:val="5"/>
    </w:pPr>
    <w:rPr>
      <w:rFonts w:ascii="Cambria" w:hAnsi="Cambria"/>
      <w:b/>
      <w:bCs/>
      <w:sz w:val="24"/>
      <w:szCs w:val="24"/>
    </w:rPr>
  </w:style>
  <w:style w:type="paragraph" w:styleId="8">
    <w:name w:val="heading 7"/>
    <w:basedOn w:val="1"/>
    <w:next w:val="1"/>
    <w:link w:val="62"/>
    <w:qFormat/>
    <w:uiPriority w:val="0"/>
    <w:pPr>
      <w:keepNext/>
      <w:keepLines/>
      <w:tabs>
        <w:tab w:val="left" w:pos="2520"/>
      </w:tabs>
      <w:spacing w:before="240" w:after="64" w:line="320" w:lineRule="auto"/>
      <w:ind w:left="1296" w:hanging="1296"/>
      <w:jc w:val="left"/>
      <w:textAlignment w:val="auto"/>
      <w:outlineLvl w:val="6"/>
    </w:pPr>
    <w:rPr>
      <w:b/>
      <w:bCs/>
      <w:sz w:val="24"/>
      <w:szCs w:val="24"/>
    </w:rPr>
  </w:style>
  <w:style w:type="paragraph" w:styleId="9">
    <w:name w:val="heading 8"/>
    <w:basedOn w:val="1"/>
    <w:next w:val="1"/>
    <w:link w:val="63"/>
    <w:qFormat/>
    <w:uiPriority w:val="0"/>
    <w:pPr>
      <w:keepNext/>
      <w:keepLines/>
      <w:tabs>
        <w:tab w:val="left" w:pos="1440"/>
      </w:tabs>
      <w:spacing w:before="240" w:after="64" w:line="320" w:lineRule="auto"/>
      <w:ind w:left="1440" w:hanging="1440"/>
      <w:jc w:val="left"/>
      <w:textAlignment w:val="auto"/>
      <w:outlineLvl w:val="7"/>
    </w:pPr>
    <w:rPr>
      <w:rFonts w:ascii="Arial" w:hAnsi="Arial" w:eastAsia="黑体"/>
      <w:sz w:val="24"/>
      <w:szCs w:val="24"/>
    </w:rPr>
  </w:style>
  <w:style w:type="paragraph" w:styleId="10">
    <w:name w:val="heading 9"/>
    <w:basedOn w:val="1"/>
    <w:next w:val="1"/>
    <w:link w:val="64"/>
    <w:qFormat/>
    <w:uiPriority w:val="0"/>
    <w:pPr>
      <w:keepNext/>
      <w:keepLines/>
      <w:tabs>
        <w:tab w:val="left" w:pos="1584"/>
      </w:tabs>
      <w:spacing w:before="240" w:after="64" w:line="320" w:lineRule="auto"/>
      <w:ind w:left="1584" w:hanging="1584"/>
      <w:jc w:val="left"/>
      <w:textAlignment w:val="auto"/>
      <w:outlineLvl w:val="8"/>
    </w:pPr>
    <w:rPr>
      <w:rFonts w:ascii="Arial" w:hAnsi="Arial" w:eastAsia="黑体"/>
      <w:szCs w:val="21"/>
    </w:rPr>
  </w:style>
  <w:style w:type="character" w:default="1" w:styleId="4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List Number 2"/>
    <w:basedOn w:val="1"/>
    <w:qFormat/>
    <w:uiPriority w:val="0"/>
    <w:pPr>
      <w:widowControl w:val="0"/>
      <w:tabs>
        <w:tab w:val="left" w:pos="567"/>
      </w:tabs>
      <w:adjustRightInd w:val="0"/>
      <w:spacing w:line="300" w:lineRule="auto"/>
      <w:ind w:left="425" w:hanging="425"/>
    </w:pPr>
    <w:rPr>
      <w:color w:val="auto"/>
      <w:sz w:val="28"/>
    </w:rPr>
  </w:style>
  <w:style w:type="paragraph" w:styleId="13">
    <w:name w:val="Normal Indent"/>
    <w:basedOn w:val="1"/>
    <w:qFormat/>
    <w:uiPriority w:val="0"/>
    <w:pPr>
      <w:widowControl w:val="0"/>
      <w:adjustRightInd w:val="0"/>
      <w:spacing w:line="360" w:lineRule="atLeast"/>
      <w:ind w:firstLine="482"/>
    </w:pPr>
    <w:rPr>
      <w:color w:val="auto"/>
      <w:sz w:val="24"/>
    </w:rPr>
  </w:style>
  <w:style w:type="paragraph" w:styleId="14">
    <w:name w:val="caption"/>
    <w:basedOn w:val="1"/>
    <w:next w:val="1"/>
    <w:qFormat/>
    <w:uiPriority w:val="0"/>
    <w:pPr>
      <w:widowControl w:val="0"/>
      <w:spacing w:line="240" w:lineRule="auto"/>
      <w:textAlignment w:val="auto"/>
    </w:pPr>
    <w:rPr>
      <w:rFonts w:ascii="Calibri Light" w:hAnsi="Calibri Light" w:eastAsia="黑体"/>
      <w:color w:val="auto"/>
      <w:kern w:val="2"/>
      <w:sz w:val="20"/>
    </w:rPr>
  </w:style>
  <w:style w:type="paragraph" w:styleId="15">
    <w:name w:val="Document Map"/>
    <w:basedOn w:val="1"/>
    <w:link w:val="65"/>
    <w:qFormat/>
    <w:uiPriority w:val="0"/>
    <w:pPr>
      <w:shd w:val="clear" w:color="auto" w:fill="000080"/>
    </w:pPr>
    <w:rPr>
      <w:shd w:val="clear" w:color="auto" w:fill="000080"/>
    </w:rPr>
  </w:style>
  <w:style w:type="paragraph" w:styleId="16">
    <w:name w:val="toa heading"/>
    <w:next w:val="1"/>
    <w:link w:val="66"/>
    <w:qFormat/>
    <w:uiPriority w:val="0"/>
    <w:pPr>
      <w:spacing w:before="120" w:line="357" w:lineRule="atLeast"/>
      <w:jc w:val="both"/>
      <w:textAlignment w:val="baseline"/>
    </w:pPr>
    <w:rPr>
      <w:rFonts w:ascii="Arial" w:hAnsi="Arial" w:eastAsia="宋体" w:cs="Times New Roman"/>
      <w:color w:val="000000"/>
      <w:sz w:val="24"/>
      <w:lang w:val="en-US" w:eastAsia="zh-CN" w:bidi="ar-SA"/>
    </w:rPr>
  </w:style>
  <w:style w:type="paragraph" w:styleId="17">
    <w:name w:val="annotation text"/>
    <w:basedOn w:val="1"/>
    <w:link w:val="67"/>
    <w:qFormat/>
    <w:uiPriority w:val="0"/>
    <w:pPr>
      <w:jc w:val="left"/>
    </w:pPr>
  </w:style>
  <w:style w:type="paragraph" w:styleId="18">
    <w:name w:val="Body Text"/>
    <w:basedOn w:val="1"/>
    <w:next w:val="1"/>
    <w:link w:val="68"/>
    <w:qFormat/>
    <w:uiPriority w:val="0"/>
    <w:pPr>
      <w:widowControl w:val="0"/>
      <w:snapToGrid w:val="0"/>
      <w:spacing w:line="360" w:lineRule="auto"/>
    </w:pPr>
    <w:rPr>
      <w:rFonts w:ascii="Arial" w:hAnsi="Arial" w:eastAsia="仿宋_GB2312"/>
      <w:sz w:val="31"/>
    </w:rPr>
  </w:style>
  <w:style w:type="paragraph" w:styleId="19">
    <w:name w:val="Body Text Indent"/>
    <w:basedOn w:val="1"/>
    <w:next w:val="20"/>
    <w:link w:val="69"/>
    <w:qFormat/>
    <w:uiPriority w:val="0"/>
    <w:pPr>
      <w:widowControl w:val="0"/>
      <w:spacing w:after="120" w:line="240" w:lineRule="auto"/>
      <w:ind w:left="420" w:leftChars="200"/>
      <w:textAlignment w:val="auto"/>
    </w:pPr>
    <w:rPr>
      <w:kern w:val="2"/>
      <w:szCs w:val="24"/>
    </w:rPr>
  </w:style>
  <w:style w:type="paragraph" w:styleId="20">
    <w:name w:val="envelope return"/>
    <w:basedOn w:val="1"/>
    <w:qFormat/>
    <w:uiPriority w:val="0"/>
    <w:pPr>
      <w:snapToGrid w:val="0"/>
    </w:pPr>
    <w:rPr>
      <w:rFonts w:ascii="Arial" w:hAnsi="Arial"/>
    </w:rPr>
  </w:style>
  <w:style w:type="paragraph" w:styleId="21">
    <w:name w:val="Block Text"/>
    <w:basedOn w:val="1"/>
    <w:qFormat/>
    <w:uiPriority w:val="0"/>
    <w:pPr>
      <w:widowControl w:val="0"/>
      <w:spacing w:after="120" w:line="240" w:lineRule="auto"/>
      <w:ind w:left="1440" w:leftChars="700" w:right="1440" w:rightChars="700"/>
      <w:textAlignment w:val="auto"/>
    </w:pPr>
    <w:rPr>
      <w:color w:val="auto"/>
      <w:kern w:val="2"/>
      <w:szCs w:val="24"/>
    </w:rPr>
  </w:style>
  <w:style w:type="paragraph" w:styleId="22">
    <w:name w:val="toc 3"/>
    <w:basedOn w:val="1"/>
    <w:next w:val="1"/>
    <w:qFormat/>
    <w:uiPriority w:val="0"/>
    <w:pPr>
      <w:widowControl w:val="0"/>
      <w:spacing w:line="360" w:lineRule="auto"/>
      <w:ind w:left="840" w:leftChars="400"/>
      <w:textAlignment w:val="auto"/>
    </w:pPr>
    <w:rPr>
      <w:rFonts w:eastAsia="微软雅黑"/>
      <w:color w:val="auto"/>
      <w:kern w:val="2"/>
      <w:sz w:val="24"/>
      <w:szCs w:val="24"/>
    </w:rPr>
  </w:style>
  <w:style w:type="paragraph" w:styleId="23">
    <w:name w:val="Plain Text"/>
    <w:basedOn w:val="1"/>
    <w:next w:val="1"/>
    <w:link w:val="70"/>
    <w:qFormat/>
    <w:uiPriority w:val="0"/>
    <w:pPr>
      <w:widowControl w:val="0"/>
      <w:spacing w:line="240" w:lineRule="auto"/>
      <w:textAlignment w:val="auto"/>
    </w:pPr>
    <w:rPr>
      <w:rFonts w:ascii="宋体" w:hAnsi="Courier New"/>
      <w:kern w:val="2"/>
    </w:rPr>
  </w:style>
  <w:style w:type="paragraph" w:styleId="24">
    <w:name w:val="Date"/>
    <w:basedOn w:val="1"/>
    <w:next w:val="1"/>
    <w:link w:val="71"/>
    <w:qFormat/>
    <w:uiPriority w:val="0"/>
    <w:pPr>
      <w:widowControl w:val="0"/>
      <w:spacing w:line="240" w:lineRule="auto"/>
      <w:textAlignment w:val="auto"/>
    </w:pPr>
    <w:rPr>
      <w:rFonts w:ascii="Arial" w:hAnsi="Arial" w:eastAsia="仿宋_GB2312"/>
      <w:kern w:val="2"/>
      <w:sz w:val="32"/>
    </w:rPr>
  </w:style>
  <w:style w:type="paragraph" w:styleId="25">
    <w:name w:val="Body Text Indent 2"/>
    <w:basedOn w:val="1"/>
    <w:link w:val="72"/>
    <w:qFormat/>
    <w:uiPriority w:val="0"/>
    <w:pPr>
      <w:spacing w:after="120" w:line="480" w:lineRule="auto"/>
      <w:ind w:left="420" w:leftChars="200"/>
    </w:pPr>
  </w:style>
  <w:style w:type="paragraph" w:styleId="26">
    <w:name w:val="Balloon Text"/>
    <w:basedOn w:val="1"/>
    <w:link w:val="73"/>
    <w:qFormat/>
    <w:uiPriority w:val="0"/>
    <w:rPr>
      <w:sz w:val="18"/>
      <w:szCs w:val="18"/>
    </w:rPr>
  </w:style>
  <w:style w:type="paragraph" w:styleId="27">
    <w:name w:val="footer"/>
    <w:basedOn w:val="1"/>
    <w:link w:val="74"/>
    <w:qFormat/>
    <w:uiPriority w:val="0"/>
    <w:pPr>
      <w:tabs>
        <w:tab w:val="center" w:pos="4153"/>
        <w:tab w:val="right" w:pos="8306"/>
      </w:tabs>
      <w:snapToGrid w:val="0"/>
      <w:spacing w:line="240" w:lineRule="atLeast"/>
      <w:jc w:val="left"/>
    </w:pPr>
    <w:rPr>
      <w:sz w:val="18"/>
      <w:szCs w:val="18"/>
    </w:rPr>
  </w:style>
  <w:style w:type="paragraph" w:styleId="28">
    <w:name w:val="header"/>
    <w:basedOn w:val="1"/>
    <w:link w:val="75"/>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9">
    <w:name w:val="toc 1"/>
    <w:basedOn w:val="1"/>
    <w:next w:val="1"/>
    <w:qFormat/>
    <w:uiPriority w:val="0"/>
    <w:pPr>
      <w:widowControl w:val="0"/>
      <w:spacing w:line="240" w:lineRule="auto"/>
      <w:textAlignment w:val="auto"/>
    </w:pPr>
    <w:rPr>
      <w:color w:val="auto"/>
      <w:kern w:val="2"/>
    </w:rPr>
  </w:style>
  <w:style w:type="paragraph" w:styleId="30">
    <w:name w:val="Subtitle"/>
    <w:basedOn w:val="1"/>
    <w:next w:val="1"/>
    <w:link w:val="76"/>
    <w:qFormat/>
    <w:uiPriority w:val="0"/>
    <w:pPr>
      <w:widowControl w:val="0"/>
      <w:spacing w:line="360" w:lineRule="auto"/>
      <w:ind w:left="420"/>
      <w:jc w:val="left"/>
      <w:textAlignment w:val="auto"/>
      <w:outlineLvl w:val="1"/>
    </w:pPr>
    <w:rPr>
      <w:rFonts w:ascii="Calibri Light" w:hAnsi="Calibri Light"/>
      <w:bCs/>
      <w:kern w:val="28"/>
      <w:szCs w:val="32"/>
      <w:lang w:val="zh-CN"/>
    </w:rPr>
  </w:style>
  <w:style w:type="paragraph" w:styleId="31">
    <w:name w:val="List"/>
    <w:basedOn w:val="1"/>
    <w:qFormat/>
    <w:uiPriority w:val="0"/>
    <w:pPr>
      <w:widowControl w:val="0"/>
      <w:spacing w:line="240" w:lineRule="auto"/>
      <w:ind w:left="420" w:hanging="420"/>
      <w:textAlignment w:val="auto"/>
    </w:pPr>
    <w:rPr>
      <w:rFonts w:ascii="Arial" w:hAnsi="Arial" w:eastAsia="楷体_GB2312"/>
      <w:color w:val="auto"/>
      <w:kern w:val="2"/>
      <w:sz w:val="28"/>
    </w:rPr>
  </w:style>
  <w:style w:type="paragraph" w:styleId="32">
    <w:name w:val="Body Text Indent 3"/>
    <w:basedOn w:val="1"/>
    <w:link w:val="77"/>
    <w:qFormat/>
    <w:uiPriority w:val="0"/>
    <w:pPr>
      <w:spacing w:after="120"/>
      <w:ind w:left="420" w:leftChars="200"/>
    </w:pPr>
    <w:rPr>
      <w:sz w:val="16"/>
      <w:szCs w:val="16"/>
    </w:rPr>
  </w:style>
  <w:style w:type="paragraph" w:styleId="33">
    <w:name w:val="toc 2"/>
    <w:basedOn w:val="1"/>
    <w:next w:val="1"/>
    <w:qFormat/>
    <w:uiPriority w:val="0"/>
    <w:pPr>
      <w:widowControl w:val="0"/>
      <w:spacing w:line="240" w:lineRule="auto"/>
      <w:ind w:left="200" w:leftChars="200"/>
      <w:textAlignment w:val="auto"/>
    </w:pPr>
    <w:rPr>
      <w:color w:val="auto"/>
      <w:kern w:val="2"/>
      <w:szCs w:val="24"/>
    </w:rPr>
  </w:style>
  <w:style w:type="paragraph" w:styleId="34">
    <w:name w:val="Normal (Web)"/>
    <w:basedOn w:val="1"/>
    <w:next w:val="1"/>
    <w:qFormat/>
    <w:uiPriority w:val="0"/>
    <w:pPr>
      <w:spacing w:before="100" w:beforeAutospacing="1" w:after="100" w:afterAutospacing="1" w:line="240" w:lineRule="auto"/>
      <w:jc w:val="left"/>
      <w:textAlignment w:val="auto"/>
    </w:pPr>
    <w:rPr>
      <w:rFonts w:ascii="宋体" w:hAnsi="宋体" w:cs="宋体"/>
      <w:color w:val="auto"/>
      <w:sz w:val="24"/>
      <w:szCs w:val="24"/>
    </w:rPr>
  </w:style>
  <w:style w:type="paragraph" w:styleId="35">
    <w:name w:val="index 1"/>
    <w:basedOn w:val="1"/>
    <w:next w:val="1"/>
    <w:qFormat/>
    <w:uiPriority w:val="0"/>
    <w:pPr>
      <w:jc w:val="center"/>
    </w:pPr>
    <w:rPr>
      <w:rFonts w:ascii="Arial" w:hAnsi="Arial" w:eastAsia="Arial" w:cs="Arial"/>
      <w:b/>
      <w:bCs/>
      <w:sz w:val="28"/>
    </w:rPr>
  </w:style>
  <w:style w:type="paragraph" w:styleId="36">
    <w:name w:val="Title"/>
    <w:basedOn w:val="1"/>
    <w:next w:val="1"/>
    <w:link w:val="78"/>
    <w:qFormat/>
    <w:uiPriority w:val="0"/>
    <w:pPr>
      <w:widowControl w:val="0"/>
      <w:spacing w:before="120" w:line="240" w:lineRule="auto"/>
      <w:jc w:val="left"/>
      <w:textAlignment w:val="auto"/>
      <w:outlineLvl w:val="0"/>
    </w:pPr>
    <w:rPr>
      <w:rFonts w:ascii="Calibri Light" w:hAnsi="Calibri Light" w:eastAsia="微软雅黑"/>
      <w:b/>
      <w:bCs/>
      <w:sz w:val="28"/>
      <w:szCs w:val="32"/>
    </w:rPr>
  </w:style>
  <w:style w:type="paragraph" w:styleId="37">
    <w:name w:val="annotation subject"/>
    <w:basedOn w:val="17"/>
    <w:next w:val="17"/>
    <w:link w:val="79"/>
    <w:qFormat/>
    <w:uiPriority w:val="0"/>
    <w:rPr>
      <w:b/>
      <w:bCs/>
    </w:rPr>
  </w:style>
  <w:style w:type="paragraph" w:styleId="38">
    <w:name w:val="Body Text First Indent"/>
    <w:basedOn w:val="18"/>
    <w:next w:val="1"/>
    <w:qFormat/>
    <w:uiPriority w:val="0"/>
    <w:pPr>
      <w:ind w:firstLine="420" w:firstLineChars="100"/>
    </w:pPr>
  </w:style>
  <w:style w:type="paragraph" w:styleId="39">
    <w:name w:val="Body Text First Indent 2"/>
    <w:basedOn w:val="19"/>
    <w:next w:val="31"/>
    <w:qFormat/>
    <w:uiPriority w:val="0"/>
    <w:pPr>
      <w:spacing w:line="360" w:lineRule="auto"/>
      <w:ind w:firstLine="200" w:firstLineChars="200"/>
    </w:pPr>
    <w:rPr>
      <w:rFonts w:ascii="宋体"/>
      <w:szCs w:val="20"/>
    </w:rPr>
  </w:style>
  <w:style w:type="character" w:styleId="42">
    <w:name w:val="Strong"/>
    <w:qFormat/>
    <w:uiPriority w:val="0"/>
    <w:rPr>
      <w:b/>
    </w:rPr>
  </w:style>
  <w:style w:type="character" w:styleId="43">
    <w:name w:val="page number"/>
    <w:qFormat/>
    <w:uiPriority w:val="0"/>
  </w:style>
  <w:style w:type="character" w:styleId="44">
    <w:name w:val="FollowedHyperlink"/>
    <w:qFormat/>
    <w:uiPriority w:val="0"/>
    <w:rPr>
      <w:color w:val="CC0000"/>
      <w:szCs w:val="21"/>
      <w:u w:val="none"/>
    </w:rPr>
  </w:style>
  <w:style w:type="character" w:styleId="45">
    <w:name w:val="Emphasis"/>
    <w:qFormat/>
    <w:uiPriority w:val="0"/>
    <w:rPr>
      <w:szCs w:val="21"/>
    </w:rPr>
  </w:style>
  <w:style w:type="character" w:styleId="46">
    <w:name w:val="HTML Definition"/>
    <w:qFormat/>
    <w:uiPriority w:val="0"/>
    <w:rPr>
      <w:szCs w:val="21"/>
    </w:rPr>
  </w:style>
  <w:style w:type="character" w:styleId="47">
    <w:name w:val="HTML Typewriter"/>
    <w:qFormat/>
    <w:uiPriority w:val="0"/>
    <w:rPr>
      <w:rFonts w:ascii="Courier New" w:hAnsi="Courier New" w:cs="Courier New"/>
      <w:sz w:val="20"/>
      <w:szCs w:val="21"/>
    </w:rPr>
  </w:style>
  <w:style w:type="character" w:styleId="48">
    <w:name w:val="HTML Acronym"/>
    <w:qFormat/>
    <w:uiPriority w:val="0"/>
    <w:rPr>
      <w:szCs w:val="21"/>
    </w:rPr>
  </w:style>
  <w:style w:type="character" w:styleId="49">
    <w:name w:val="HTML Variable"/>
    <w:qFormat/>
    <w:uiPriority w:val="0"/>
    <w:rPr>
      <w:szCs w:val="21"/>
    </w:rPr>
  </w:style>
  <w:style w:type="character" w:styleId="50">
    <w:name w:val="Hyperlink"/>
    <w:qFormat/>
    <w:uiPriority w:val="0"/>
    <w:rPr>
      <w:color w:val="333333"/>
      <w:u w:val="none"/>
    </w:rPr>
  </w:style>
  <w:style w:type="character" w:styleId="51">
    <w:name w:val="HTML Code"/>
    <w:qFormat/>
    <w:uiPriority w:val="0"/>
    <w:rPr>
      <w:rFonts w:ascii="Courier New" w:hAnsi="Courier New" w:eastAsia="Courier New" w:cs="Courier New"/>
      <w:sz w:val="20"/>
      <w:szCs w:val="21"/>
    </w:rPr>
  </w:style>
  <w:style w:type="character" w:styleId="52">
    <w:name w:val="annotation reference"/>
    <w:qFormat/>
    <w:uiPriority w:val="0"/>
    <w:rPr>
      <w:sz w:val="21"/>
      <w:szCs w:val="21"/>
    </w:rPr>
  </w:style>
  <w:style w:type="character" w:styleId="53">
    <w:name w:val="HTML Cite"/>
    <w:qFormat/>
    <w:uiPriority w:val="0"/>
    <w:rPr>
      <w:szCs w:val="21"/>
    </w:rPr>
  </w:style>
  <w:style w:type="character" w:styleId="54">
    <w:name w:val="HTML Keyboard"/>
    <w:qFormat/>
    <w:uiPriority w:val="0"/>
    <w:rPr>
      <w:rFonts w:ascii="Courier New" w:hAnsi="Courier New" w:eastAsia="Courier New" w:cs="Courier New"/>
      <w:sz w:val="20"/>
      <w:szCs w:val="21"/>
    </w:rPr>
  </w:style>
  <w:style w:type="character" w:styleId="55">
    <w:name w:val="HTML Sample"/>
    <w:qFormat/>
    <w:uiPriority w:val="0"/>
    <w:rPr>
      <w:rFonts w:ascii="Courier New" w:hAnsi="Courier New" w:eastAsia="Courier New" w:cs="Courier New"/>
      <w:szCs w:val="21"/>
    </w:rPr>
  </w:style>
  <w:style w:type="character" w:customStyle="1" w:styleId="56">
    <w:name w:val="标题 1 Char"/>
    <w:link w:val="2"/>
    <w:qFormat/>
    <w:uiPriority w:val="0"/>
    <w:rPr>
      <w:rFonts w:ascii="黑体" w:hAnsi="Times New Roman" w:eastAsia="黑体" w:cs="Times New Roman"/>
      <w:kern w:val="0"/>
      <w:sz w:val="52"/>
      <w:szCs w:val="20"/>
    </w:rPr>
  </w:style>
  <w:style w:type="character" w:customStyle="1" w:styleId="57">
    <w:name w:val="标题 2 Char1"/>
    <w:link w:val="3"/>
    <w:qFormat/>
    <w:uiPriority w:val="0"/>
    <w:rPr>
      <w:b/>
      <w:color w:val="000000"/>
      <w:sz w:val="21"/>
    </w:rPr>
  </w:style>
  <w:style w:type="character" w:customStyle="1" w:styleId="58">
    <w:name w:val="标题 3 Char"/>
    <w:link w:val="4"/>
    <w:qFormat/>
    <w:uiPriority w:val="0"/>
    <w:rPr>
      <w:rFonts w:eastAsia="宋体"/>
      <w:b/>
      <w:bCs/>
      <w:color w:val="000000"/>
      <w:sz w:val="21"/>
      <w:szCs w:val="32"/>
      <w:lang w:val="en-US" w:eastAsia="zh-CN" w:bidi="ar-SA"/>
    </w:rPr>
  </w:style>
  <w:style w:type="character" w:customStyle="1" w:styleId="59">
    <w:name w:val="标题 4 Char"/>
    <w:link w:val="5"/>
    <w:qFormat/>
    <w:uiPriority w:val="0"/>
    <w:rPr>
      <w:rFonts w:ascii="Arial" w:hAnsi="Arial" w:eastAsia="黑体"/>
      <w:b/>
      <w:bCs/>
      <w:color w:val="000000"/>
      <w:sz w:val="28"/>
      <w:szCs w:val="28"/>
      <w:lang w:val="zh-CN" w:eastAsia="zh-CN" w:bidi="ar-SA"/>
    </w:rPr>
  </w:style>
  <w:style w:type="character" w:customStyle="1" w:styleId="60">
    <w:name w:val="标题 5 Char"/>
    <w:link w:val="6"/>
    <w:qFormat/>
    <w:uiPriority w:val="0"/>
    <w:rPr>
      <w:rFonts w:eastAsia="宋体"/>
      <w:b/>
      <w:bCs/>
      <w:sz w:val="28"/>
      <w:szCs w:val="28"/>
      <w:lang w:val="zh-CN" w:eastAsia="zh-CN" w:bidi="ar-SA"/>
    </w:rPr>
  </w:style>
  <w:style w:type="character" w:customStyle="1" w:styleId="61">
    <w:name w:val="标题 6 Char"/>
    <w:link w:val="7"/>
    <w:qFormat/>
    <w:uiPriority w:val="0"/>
    <w:rPr>
      <w:rFonts w:ascii="Cambria" w:hAnsi="Cambria" w:eastAsia="宋体" w:cs="Times New Roman"/>
      <w:b/>
      <w:bCs/>
      <w:color w:val="000000"/>
      <w:sz w:val="24"/>
      <w:szCs w:val="24"/>
    </w:rPr>
  </w:style>
  <w:style w:type="character" w:customStyle="1" w:styleId="62">
    <w:name w:val="标题 7 Char"/>
    <w:link w:val="8"/>
    <w:qFormat/>
    <w:uiPriority w:val="0"/>
    <w:rPr>
      <w:rFonts w:eastAsia="宋体"/>
      <w:b/>
      <w:bCs/>
      <w:sz w:val="24"/>
      <w:szCs w:val="24"/>
      <w:lang w:bidi="ar-SA"/>
    </w:rPr>
  </w:style>
  <w:style w:type="character" w:customStyle="1" w:styleId="63">
    <w:name w:val="标题 8 Char"/>
    <w:link w:val="9"/>
    <w:qFormat/>
    <w:uiPriority w:val="0"/>
    <w:rPr>
      <w:rFonts w:ascii="Arial" w:hAnsi="Arial" w:eastAsia="黑体"/>
      <w:sz w:val="24"/>
      <w:szCs w:val="24"/>
      <w:lang w:bidi="ar-SA"/>
    </w:rPr>
  </w:style>
  <w:style w:type="character" w:customStyle="1" w:styleId="64">
    <w:name w:val="标题 9 Char"/>
    <w:link w:val="10"/>
    <w:qFormat/>
    <w:uiPriority w:val="0"/>
    <w:rPr>
      <w:rFonts w:ascii="Arial" w:hAnsi="Arial" w:eastAsia="黑体"/>
      <w:sz w:val="21"/>
      <w:szCs w:val="21"/>
      <w:lang w:bidi="ar-SA"/>
    </w:rPr>
  </w:style>
  <w:style w:type="character" w:customStyle="1" w:styleId="65">
    <w:name w:val="文档结构图 Char"/>
    <w:link w:val="15"/>
    <w:qFormat/>
    <w:uiPriority w:val="0"/>
    <w:rPr>
      <w:color w:val="000000"/>
      <w:sz w:val="21"/>
      <w:shd w:val="clear" w:color="auto" w:fill="000080"/>
    </w:rPr>
  </w:style>
  <w:style w:type="character" w:customStyle="1" w:styleId="66">
    <w:name w:val="引文目录标题 Char"/>
    <w:link w:val="16"/>
    <w:qFormat/>
    <w:uiPriority w:val="0"/>
    <w:rPr>
      <w:rFonts w:ascii="Arial" w:hAnsi="Arial"/>
      <w:color w:val="000000"/>
      <w:sz w:val="24"/>
      <w:lang w:val="en-US" w:eastAsia="zh-CN" w:bidi="ar-SA"/>
    </w:rPr>
  </w:style>
  <w:style w:type="character" w:customStyle="1" w:styleId="67">
    <w:name w:val="批注文字 Char"/>
    <w:link w:val="17"/>
    <w:qFormat/>
    <w:uiPriority w:val="0"/>
    <w:rPr>
      <w:rFonts w:eastAsia="宋体"/>
      <w:color w:val="000000"/>
      <w:sz w:val="21"/>
      <w:lang w:val="en-US" w:eastAsia="zh-CN" w:bidi="ar-SA"/>
    </w:rPr>
  </w:style>
  <w:style w:type="character" w:customStyle="1" w:styleId="68">
    <w:name w:val="正文文本 Char"/>
    <w:link w:val="18"/>
    <w:qFormat/>
    <w:uiPriority w:val="0"/>
    <w:rPr>
      <w:rFonts w:ascii="Arial" w:hAnsi="Arial" w:eastAsia="仿宋_GB2312"/>
      <w:color w:val="000000"/>
      <w:sz w:val="31"/>
    </w:rPr>
  </w:style>
  <w:style w:type="character" w:customStyle="1" w:styleId="69">
    <w:name w:val="正文文本缩进 Char"/>
    <w:link w:val="19"/>
    <w:qFormat/>
    <w:uiPriority w:val="0"/>
    <w:rPr>
      <w:kern w:val="2"/>
      <w:sz w:val="21"/>
      <w:szCs w:val="24"/>
    </w:rPr>
  </w:style>
  <w:style w:type="character" w:customStyle="1" w:styleId="70">
    <w:name w:val="纯文本 Char2"/>
    <w:link w:val="23"/>
    <w:qFormat/>
    <w:uiPriority w:val="0"/>
    <w:rPr>
      <w:rFonts w:ascii="宋体" w:hAnsi="Courier New" w:eastAsia="宋体"/>
      <w:kern w:val="2"/>
      <w:sz w:val="21"/>
      <w:lang w:val="en-US" w:eastAsia="zh-CN" w:bidi="ar-SA"/>
    </w:rPr>
  </w:style>
  <w:style w:type="character" w:customStyle="1" w:styleId="71">
    <w:name w:val="日期 Char"/>
    <w:link w:val="24"/>
    <w:qFormat/>
    <w:uiPriority w:val="0"/>
    <w:rPr>
      <w:rFonts w:ascii="Arial" w:hAnsi="Arial" w:eastAsia="仿宋_GB2312"/>
      <w:kern w:val="2"/>
      <w:sz w:val="32"/>
      <w:lang w:val="en-US" w:eastAsia="zh-CN" w:bidi="ar-SA"/>
    </w:rPr>
  </w:style>
  <w:style w:type="character" w:customStyle="1" w:styleId="72">
    <w:name w:val="正文文本缩进 2 Char"/>
    <w:link w:val="25"/>
    <w:qFormat/>
    <w:uiPriority w:val="0"/>
    <w:rPr>
      <w:color w:val="000000"/>
      <w:sz w:val="21"/>
    </w:rPr>
  </w:style>
  <w:style w:type="character" w:customStyle="1" w:styleId="73">
    <w:name w:val="批注框文本 Char"/>
    <w:link w:val="26"/>
    <w:qFormat/>
    <w:uiPriority w:val="0"/>
    <w:rPr>
      <w:color w:val="000000"/>
      <w:sz w:val="18"/>
      <w:szCs w:val="18"/>
    </w:rPr>
  </w:style>
  <w:style w:type="character" w:customStyle="1" w:styleId="74">
    <w:name w:val="页脚 Char"/>
    <w:link w:val="27"/>
    <w:qFormat/>
    <w:uiPriority w:val="0"/>
    <w:rPr>
      <w:color w:val="000000"/>
      <w:sz w:val="18"/>
      <w:szCs w:val="18"/>
    </w:rPr>
  </w:style>
  <w:style w:type="character" w:customStyle="1" w:styleId="75">
    <w:name w:val="页眉 Char"/>
    <w:link w:val="28"/>
    <w:qFormat/>
    <w:uiPriority w:val="0"/>
    <w:rPr>
      <w:rFonts w:eastAsia="宋体"/>
      <w:color w:val="000000"/>
      <w:sz w:val="18"/>
      <w:szCs w:val="18"/>
      <w:lang w:val="en-US" w:eastAsia="zh-CN" w:bidi="ar-SA"/>
    </w:rPr>
  </w:style>
  <w:style w:type="character" w:customStyle="1" w:styleId="76">
    <w:name w:val="副标题 Char"/>
    <w:link w:val="30"/>
    <w:qFormat/>
    <w:uiPriority w:val="0"/>
    <w:rPr>
      <w:rFonts w:ascii="Calibri Light" w:hAnsi="Calibri Light"/>
      <w:bCs/>
      <w:color w:val="000000"/>
      <w:kern w:val="28"/>
      <w:sz w:val="21"/>
      <w:szCs w:val="32"/>
      <w:lang w:val="zh-CN"/>
    </w:rPr>
  </w:style>
  <w:style w:type="character" w:customStyle="1" w:styleId="77">
    <w:name w:val="正文文本缩进 3 Char"/>
    <w:link w:val="32"/>
    <w:qFormat/>
    <w:uiPriority w:val="0"/>
    <w:rPr>
      <w:color w:val="000000"/>
      <w:sz w:val="16"/>
      <w:szCs w:val="16"/>
    </w:rPr>
  </w:style>
  <w:style w:type="character" w:customStyle="1" w:styleId="78">
    <w:name w:val="标题 Char"/>
    <w:link w:val="36"/>
    <w:qFormat/>
    <w:uiPriority w:val="0"/>
    <w:rPr>
      <w:rFonts w:ascii="Calibri Light" w:hAnsi="Calibri Light" w:eastAsia="微软雅黑"/>
      <w:b/>
      <w:bCs/>
      <w:sz w:val="28"/>
      <w:szCs w:val="32"/>
      <w:lang w:bidi="ar-SA"/>
    </w:rPr>
  </w:style>
  <w:style w:type="character" w:customStyle="1" w:styleId="79">
    <w:name w:val="批注主题 Char"/>
    <w:link w:val="37"/>
    <w:qFormat/>
    <w:uiPriority w:val="0"/>
    <w:rPr>
      <w:rFonts w:eastAsia="宋体"/>
      <w:b/>
      <w:bCs/>
      <w:color w:val="000000"/>
      <w:sz w:val="21"/>
      <w:lang w:val="en-US" w:eastAsia="zh-CN" w:bidi="ar-SA"/>
    </w:rPr>
  </w:style>
  <w:style w:type="character" w:customStyle="1" w:styleId="80">
    <w:name w:val="标题 1 Char Char"/>
    <w:link w:val="2"/>
    <w:qFormat/>
    <w:uiPriority w:val="0"/>
    <w:rPr>
      <w:rFonts w:ascii="黑体" w:eastAsia="黑体"/>
      <w:sz w:val="32"/>
      <w:lang w:val="en-US" w:eastAsia="zh-CN" w:bidi="ar-SA"/>
    </w:rPr>
  </w:style>
  <w:style w:type="character" w:customStyle="1" w:styleId="81">
    <w:name w:val="pl7"/>
    <w:qFormat/>
    <w:uiPriority w:val="0"/>
    <w:rPr>
      <w:szCs w:val="21"/>
    </w:rPr>
  </w:style>
  <w:style w:type="character" w:customStyle="1" w:styleId="82">
    <w:name w:val="Char Char14"/>
    <w:qFormat/>
    <w:uiPriority w:val="0"/>
    <w:rPr>
      <w:color w:val="000000"/>
      <w:sz w:val="21"/>
      <w:lang w:bidi="ar-SA"/>
    </w:rPr>
  </w:style>
  <w:style w:type="character" w:customStyle="1" w:styleId="83">
    <w:name w:val="txtover"/>
    <w:qFormat/>
    <w:uiPriority w:val="0"/>
    <w:rPr>
      <w:szCs w:val="21"/>
    </w:rPr>
  </w:style>
  <w:style w:type="character" w:customStyle="1" w:styleId="84">
    <w:name w:val="enable1"/>
    <w:qFormat/>
    <w:uiPriority w:val="0"/>
    <w:rPr>
      <w:szCs w:val="21"/>
    </w:rPr>
  </w:style>
  <w:style w:type="character" w:customStyle="1" w:styleId="85">
    <w:name w:val="Char Char7"/>
    <w:qFormat/>
    <w:uiPriority w:val="0"/>
    <w:rPr>
      <w:rFonts w:ascii="Calibri Light" w:hAnsi="Calibri Light" w:eastAsia="微软雅黑"/>
      <w:b/>
      <w:bCs/>
      <w:sz w:val="28"/>
      <w:szCs w:val="32"/>
      <w:lang w:bidi="ar-SA"/>
    </w:rPr>
  </w:style>
  <w:style w:type="character" w:customStyle="1" w:styleId="86">
    <w:name w:val="Char Char12"/>
    <w:qFormat/>
    <w:uiPriority w:val="0"/>
    <w:rPr>
      <w:kern w:val="2"/>
      <w:sz w:val="21"/>
      <w:szCs w:val="24"/>
      <w:lang w:bidi="ar-SA"/>
    </w:rPr>
  </w:style>
  <w:style w:type="character" w:customStyle="1" w:styleId="87">
    <w:name w:val="正文缩进 Char2"/>
    <w:qFormat/>
    <w:uiPriority w:val="0"/>
    <w:rPr>
      <w:rFonts w:eastAsia="宋体"/>
      <w:sz w:val="24"/>
      <w:lang w:val="en-US" w:eastAsia="zh-CN" w:bidi="ar-SA"/>
    </w:rPr>
  </w:style>
  <w:style w:type="character" w:customStyle="1" w:styleId="88">
    <w:name w:val="enable2"/>
    <w:qFormat/>
    <w:uiPriority w:val="0"/>
    <w:rPr>
      <w:szCs w:val="21"/>
    </w:rPr>
  </w:style>
  <w:style w:type="character" w:customStyle="1" w:styleId="89">
    <w:name w:val="wp_keywordlink"/>
    <w:qFormat/>
    <w:uiPriority w:val="0"/>
    <w:rPr>
      <w:szCs w:val="21"/>
    </w:rPr>
  </w:style>
  <w:style w:type="character" w:customStyle="1" w:styleId="90">
    <w:name w:val="Comment Text Char"/>
    <w:qFormat/>
    <w:uiPriority w:val="0"/>
    <w:rPr>
      <w:rFonts w:ascii="等线" w:hAnsi="等线" w:eastAsia="等线" w:cs="Times New Roman"/>
      <w:lang w:val="zh-CN" w:eastAsia="zh-CN"/>
    </w:rPr>
  </w:style>
  <w:style w:type="character" w:customStyle="1" w:styleId="91">
    <w:name w:val="fafa_online"/>
    <w:qFormat/>
    <w:uiPriority w:val="0"/>
    <w:rPr>
      <w:szCs w:val="21"/>
    </w:rPr>
  </w:style>
  <w:style w:type="character" w:customStyle="1" w:styleId="92">
    <w:name w:val="Char Char6"/>
    <w:qFormat/>
    <w:uiPriority w:val="0"/>
    <w:rPr>
      <w:rFonts w:ascii="Arial" w:hAnsi="Arial" w:eastAsia="仿宋_GB2312"/>
      <w:color w:val="000000"/>
      <w:sz w:val="31"/>
      <w:lang w:bidi="ar-SA"/>
    </w:rPr>
  </w:style>
  <w:style w:type="character" w:customStyle="1" w:styleId="93">
    <w:name w:val="hover18"/>
    <w:qFormat/>
    <w:uiPriority w:val="0"/>
    <w:rPr>
      <w:color w:val="FFFFFF"/>
      <w:szCs w:val="21"/>
    </w:rPr>
  </w:style>
  <w:style w:type="character" w:customStyle="1" w:styleId="94">
    <w:name w:val="font111"/>
    <w:basedOn w:val="41"/>
    <w:qFormat/>
    <w:uiPriority w:val="0"/>
    <w:rPr>
      <w:rFonts w:hint="eastAsia" w:ascii="微软雅黑" w:hAnsi="微软雅黑" w:eastAsia="微软雅黑" w:cs="微软雅黑"/>
      <w:color w:val="000000"/>
      <w:sz w:val="22"/>
      <w:szCs w:val="22"/>
      <w:u w:val="none"/>
    </w:rPr>
  </w:style>
  <w:style w:type="character" w:customStyle="1" w:styleId="95">
    <w:name w:val="gpa"/>
    <w:qFormat/>
    <w:uiPriority w:val="0"/>
    <w:rPr>
      <w:rFonts w:ascii="Arial" w:hAnsi="Arial"/>
      <w:sz w:val="15"/>
    </w:rPr>
  </w:style>
  <w:style w:type="character" w:customStyle="1" w:styleId="96">
    <w:name w:val="标题 9 字符"/>
    <w:qFormat/>
    <w:uiPriority w:val="0"/>
    <w:rPr>
      <w:rFonts w:ascii="Arial" w:hAnsi="Arial" w:eastAsia="黑体" w:cs="Times New Roman"/>
      <w:kern w:val="0"/>
      <w:szCs w:val="21"/>
    </w:rPr>
  </w:style>
  <w:style w:type="character" w:customStyle="1" w:styleId="97">
    <w:name w:val="批注文字 Char Char"/>
    <w:qFormat/>
    <w:uiPriority w:val="0"/>
    <w:rPr>
      <w:color w:val="000000"/>
      <w:sz w:val="21"/>
    </w:rPr>
  </w:style>
  <w:style w:type="character" w:customStyle="1" w:styleId="98">
    <w:name w:val="Char Char9"/>
    <w:qFormat/>
    <w:uiPriority w:val="0"/>
    <w:rPr>
      <w:rFonts w:eastAsia="宋体"/>
      <w:color w:val="000000"/>
      <w:sz w:val="18"/>
      <w:szCs w:val="18"/>
      <w:lang w:val="en-US" w:eastAsia="zh-CN" w:bidi="ar-SA"/>
    </w:rPr>
  </w:style>
  <w:style w:type="character" w:customStyle="1" w:styleId="99">
    <w:name w:val="sel1"/>
    <w:qFormat/>
    <w:uiPriority w:val="0"/>
    <w:rPr>
      <w:color w:val="FFFFFF"/>
      <w:szCs w:val="21"/>
    </w:rPr>
  </w:style>
  <w:style w:type="character" w:customStyle="1" w:styleId="100">
    <w:name w:val="Char Char15"/>
    <w:qFormat/>
    <w:uiPriority w:val="0"/>
    <w:rPr>
      <w:rFonts w:ascii="黑体" w:eastAsia="黑体"/>
      <w:sz w:val="52"/>
    </w:rPr>
  </w:style>
  <w:style w:type="character" w:customStyle="1" w:styleId="101">
    <w:name w:val="日期 字符"/>
    <w:qFormat/>
    <w:uiPriority w:val="0"/>
    <w:rPr>
      <w:rFonts w:ascii="Arial" w:hAnsi="Arial" w:eastAsia="仿宋_GB2312"/>
      <w:sz w:val="32"/>
    </w:rPr>
  </w:style>
  <w:style w:type="character" w:customStyle="1" w:styleId="102">
    <w:name w:val="txtover1"/>
    <w:qFormat/>
    <w:uiPriority w:val="0"/>
    <w:rPr>
      <w:szCs w:val="21"/>
    </w:rPr>
  </w:style>
  <w:style w:type="character" w:customStyle="1" w:styleId="103">
    <w:name w:val="正文文本缩进 3 字符1"/>
    <w:qFormat/>
    <w:uiPriority w:val="0"/>
    <w:rPr>
      <w:rFonts w:ascii="Times New Roman" w:hAnsi="Times New Roman" w:eastAsia="宋体" w:cs="Times New Roman"/>
      <w:color w:val="000000"/>
      <w:kern w:val="0"/>
      <w:sz w:val="16"/>
      <w:szCs w:val="16"/>
    </w:rPr>
  </w:style>
  <w:style w:type="character" w:customStyle="1" w:styleId="104">
    <w:name w:val="列出段落 Char"/>
    <w:link w:val="105"/>
    <w:qFormat/>
    <w:uiPriority w:val="0"/>
    <w:rPr>
      <w:kern w:val="2"/>
      <w:sz w:val="21"/>
      <w:szCs w:val="24"/>
    </w:rPr>
  </w:style>
  <w:style w:type="paragraph" w:styleId="105">
    <w:name w:val="List Paragraph"/>
    <w:basedOn w:val="1"/>
    <w:link w:val="104"/>
    <w:qFormat/>
    <w:uiPriority w:val="0"/>
    <w:pPr>
      <w:widowControl w:val="0"/>
      <w:spacing w:line="240" w:lineRule="auto"/>
      <w:ind w:firstLine="420" w:firstLineChars="200"/>
      <w:textAlignment w:val="auto"/>
    </w:pPr>
    <w:rPr>
      <w:kern w:val="2"/>
      <w:szCs w:val="24"/>
    </w:rPr>
  </w:style>
  <w:style w:type="character" w:customStyle="1" w:styleId="106">
    <w:name w:val="正文文本缩进 2 字符"/>
    <w:qFormat/>
    <w:uiPriority w:val="0"/>
    <w:rPr>
      <w:rFonts w:cs="Times New Roman"/>
    </w:rPr>
  </w:style>
  <w:style w:type="character" w:customStyle="1" w:styleId="107">
    <w:name w:val="o3ztbmydvgk1"/>
    <w:qFormat/>
    <w:uiPriority w:val="0"/>
    <w:rPr>
      <w:sz w:val="16"/>
      <w:szCs w:val="0"/>
    </w:rPr>
  </w:style>
  <w:style w:type="character" w:customStyle="1" w:styleId="108">
    <w:name w:val="Body Text Char"/>
    <w:qFormat/>
    <w:uiPriority w:val="0"/>
    <w:rPr>
      <w:rFonts w:ascii="Times New Roman" w:hAnsi="Times New Roman" w:eastAsia="宋体" w:cs="Times New Roman"/>
      <w:sz w:val="24"/>
      <w:szCs w:val="24"/>
      <w:lang w:val="zh-CN" w:eastAsia="zh-CN"/>
    </w:rPr>
  </w:style>
  <w:style w:type="character" w:customStyle="1" w:styleId="109">
    <w:name w:val="批注文字 字符"/>
    <w:qFormat/>
    <w:uiPriority w:val="0"/>
    <w:rPr>
      <w:rFonts w:eastAsia="宋体"/>
      <w:color w:val="000000"/>
      <w:sz w:val="21"/>
      <w:lang w:val="en-US" w:eastAsia="zh-CN" w:bidi="ar-SA"/>
    </w:rPr>
  </w:style>
  <w:style w:type="character" w:customStyle="1" w:styleId="110">
    <w:name w:val="标题 字符"/>
    <w:qFormat/>
    <w:uiPriority w:val="0"/>
    <w:rPr>
      <w:rFonts w:ascii="Calibri Light" w:hAnsi="Calibri Light" w:eastAsia="微软雅黑"/>
      <w:b/>
      <w:bCs/>
      <w:sz w:val="28"/>
      <w:szCs w:val="32"/>
    </w:rPr>
  </w:style>
  <w:style w:type="character" w:customStyle="1" w:styleId="111">
    <w:name w:val="info"/>
    <w:qFormat/>
    <w:uiPriority w:val="0"/>
    <w:rPr>
      <w:color w:val="666666"/>
      <w:szCs w:val="21"/>
    </w:rPr>
  </w:style>
  <w:style w:type="character" w:customStyle="1" w:styleId="112">
    <w:name w:val="Heading 1 Char"/>
    <w:qFormat/>
    <w:uiPriority w:val="0"/>
    <w:rPr>
      <w:rFonts w:ascii="Times New Roman" w:hAnsi="Times New Roman" w:eastAsia="宋体" w:cs="Times New Roman"/>
      <w:b/>
      <w:kern w:val="44"/>
      <w:sz w:val="44"/>
      <w:lang w:val="zh-CN" w:eastAsia="zh-CN"/>
    </w:rPr>
  </w:style>
  <w:style w:type="character" w:customStyle="1" w:styleId="113">
    <w:name w:val="正文文本缩进 3 字符"/>
    <w:qFormat/>
    <w:uiPriority w:val="0"/>
    <w:rPr>
      <w:color w:val="000000"/>
      <w:sz w:val="16"/>
      <w:szCs w:val="16"/>
    </w:rPr>
  </w:style>
  <w:style w:type="character" w:customStyle="1" w:styleId="114">
    <w:name w:val="纯文本 Char Char"/>
    <w:qFormat/>
    <w:uiPriority w:val="0"/>
    <w:rPr>
      <w:rFonts w:ascii="宋体" w:hAnsi="Courier New" w:cs="Courier New"/>
      <w:kern w:val="2"/>
      <w:sz w:val="21"/>
      <w:szCs w:val="21"/>
    </w:rPr>
  </w:style>
  <w:style w:type="character" w:customStyle="1" w:styleId="115">
    <w:name w:val="页眉 Char Char"/>
    <w:qFormat/>
    <w:uiPriority w:val="0"/>
    <w:rPr>
      <w:rFonts w:eastAsia="宋体"/>
      <w:color w:val="000000"/>
      <w:sz w:val="18"/>
      <w:szCs w:val="18"/>
      <w:lang w:val="en-US" w:eastAsia="zh-CN" w:bidi="ar-SA"/>
    </w:rPr>
  </w:style>
  <w:style w:type="character" w:customStyle="1" w:styleId="116">
    <w:name w:val="d-title"/>
    <w:qFormat/>
    <w:uiPriority w:val="0"/>
    <w:rPr>
      <w:b/>
      <w:szCs w:val="21"/>
    </w:rPr>
  </w:style>
  <w:style w:type="character" w:customStyle="1" w:styleId="117">
    <w:name w:val="navigation"/>
    <w:qFormat/>
    <w:uiPriority w:val="0"/>
    <w:rPr>
      <w:szCs w:val="21"/>
    </w:rPr>
  </w:style>
  <w:style w:type="character" w:customStyle="1" w:styleId="118">
    <w:name w:val="Char Char1"/>
    <w:qFormat/>
    <w:uiPriority w:val="0"/>
    <w:rPr>
      <w:rFonts w:ascii="Arial"/>
      <w:vanish/>
      <w:kern w:val="2"/>
      <w:sz w:val="16"/>
      <w:szCs w:val="24"/>
      <w:lang w:bidi="ar-SA"/>
    </w:rPr>
  </w:style>
  <w:style w:type="character" w:customStyle="1" w:styleId="119">
    <w:name w:val="Heading 7 Char"/>
    <w:qFormat/>
    <w:uiPriority w:val="0"/>
    <w:rPr>
      <w:rFonts w:ascii="Times New Roman" w:hAnsi="Times New Roman" w:eastAsia="宋体" w:cs="Times New Roman"/>
      <w:b/>
      <w:sz w:val="24"/>
      <w:lang w:val="zh-CN" w:eastAsia="zh-CN"/>
    </w:rPr>
  </w:style>
  <w:style w:type="character" w:customStyle="1" w:styleId="120">
    <w:name w:val="i-title-ot"/>
    <w:qFormat/>
    <w:uiPriority w:val="0"/>
    <w:rPr>
      <w:szCs w:val="21"/>
    </w:rPr>
  </w:style>
  <w:style w:type="character" w:customStyle="1" w:styleId="121">
    <w:name w:val="正文缩进2格 Char Char"/>
    <w:link w:val="122"/>
    <w:qFormat/>
    <w:uiPriority w:val="0"/>
    <w:rPr>
      <w:rFonts w:ascii="仿宋_GB2312" w:hAnsi="宋体" w:eastAsia="仿宋_GB2312"/>
      <w:kern w:val="2"/>
      <w:sz w:val="31"/>
      <w:szCs w:val="28"/>
      <w:lang w:val="en-US" w:eastAsia="zh-CN" w:bidi="ar-SA"/>
    </w:rPr>
  </w:style>
  <w:style w:type="paragraph" w:customStyle="1" w:styleId="122">
    <w:name w:val="正文缩进2格"/>
    <w:basedOn w:val="1"/>
    <w:link w:val="121"/>
    <w:qFormat/>
    <w:uiPriority w:val="0"/>
    <w:pPr>
      <w:widowControl w:val="0"/>
      <w:spacing w:line="600" w:lineRule="exact"/>
      <w:ind w:firstLine="639" w:firstLineChars="206"/>
      <w:textAlignment w:val="auto"/>
    </w:pPr>
    <w:rPr>
      <w:rFonts w:ascii="仿宋_GB2312" w:hAnsi="宋体" w:eastAsia="仿宋_GB2312"/>
      <w:kern w:val="2"/>
      <w:sz w:val="31"/>
      <w:szCs w:val="28"/>
    </w:rPr>
  </w:style>
  <w:style w:type="character" w:customStyle="1" w:styleId="123">
    <w:name w:val="Header Char"/>
    <w:qFormat/>
    <w:uiPriority w:val="0"/>
    <w:rPr>
      <w:rFonts w:ascii="Times New Roman" w:hAnsi="Times New Roman" w:eastAsia="宋体" w:cs="Times New Roman"/>
      <w:sz w:val="18"/>
      <w:szCs w:val="18"/>
      <w:lang w:val="zh-CN" w:eastAsia="zh-CN"/>
    </w:rPr>
  </w:style>
  <w:style w:type="character" w:customStyle="1" w:styleId="124">
    <w:name w:val="Char Char"/>
    <w:qFormat/>
    <w:uiPriority w:val="0"/>
    <w:rPr>
      <w:rFonts w:ascii="宋体" w:eastAsia="宋体"/>
      <w:kern w:val="2"/>
      <w:sz w:val="21"/>
    </w:rPr>
  </w:style>
  <w:style w:type="character" w:customStyle="1" w:styleId="125">
    <w:name w:val="Char Char23"/>
    <w:qFormat/>
    <w:uiPriority w:val="0"/>
    <w:rPr>
      <w:rFonts w:eastAsia="宋体"/>
      <w:b/>
      <w:bCs/>
      <w:sz w:val="28"/>
      <w:szCs w:val="28"/>
      <w:lang w:val="zh-CN" w:eastAsia="zh-CN" w:bidi="ar-SA"/>
    </w:rPr>
  </w:style>
  <w:style w:type="character" w:customStyle="1" w:styleId="126">
    <w:name w:val="Char Char16"/>
    <w:qFormat/>
    <w:uiPriority w:val="0"/>
    <w:rPr>
      <w:color w:val="000000"/>
      <w:sz w:val="18"/>
      <w:szCs w:val="18"/>
      <w:lang w:bidi="ar-SA"/>
    </w:rPr>
  </w:style>
  <w:style w:type="character" w:customStyle="1" w:styleId="127">
    <w:name w:val="Heading 2 Char"/>
    <w:qFormat/>
    <w:uiPriority w:val="0"/>
    <w:rPr>
      <w:rFonts w:eastAsia="宋体"/>
      <w:sz w:val="24"/>
      <w:lang w:val="zh-CN" w:eastAsia="zh-CN" w:bidi="ar-SA"/>
    </w:rPr>
  </w:style>
  <w:style w:type="character" w:customStyle="1" w:styleId="128">
    <w:name w:val="mid"/>
    <w:qFormat/>
    <w:uiPriority w:val="0"/>
    <w:rPr>
      <w:szCs w:val="21"/>
    </w:rPr>
  </w:style>
  <w:style w:type="character" w:customStyle="1" w:styleId="129">
    <w:name w:val="apple-converted-space"/>
    <w:qFormat/>
    <w:uiPriority w:val="0"/>
    <w:rPr>
      <w:szCs w:val="21"/>
    </w:rPr>
  </w:style>
  <w:style w:type="character" w:customStyle="1" w:styleId="130">
    <w:name w:val="i-title"/>
    <w:qFormat/>
    <w:uiPriority w:val="0"/>
    <w:rPr>
      <w:szCs w:val="21"/>
    </w:rPr>
  </w:style>
  <w:style w:type="character" w:customStyle="1" w:styleId="131">
    <w:name w:val="article-label"/>
    <w:qFormat/>
    <w:uiPriority w:val="0"/>
    <w:rPr>
      <w:b/>
      <w:szCs w:val="21"/>
    </w:rPr>
  </w:style>
  <w:style w:type="character" w:customStyle="1" w:styleId="132">
    <w:name w:val="article-copytext"/>
    <w:qFormat/>
    <w:uiPriority w:val="0"/>
    <w:rPr>
      <w:rFonts w:ascii="Arial" w:hAnsi="Arial" w:cs="Arial"/>
      <w:szCs w:val="21"/>
    </w:rPr>
  </w:style>
  <w:style w:type="character" w:customStyle="1" w:styleId="133">
    <w:name w:val="Title Char"/>
    <w:qFormat/>
    <w:uiPriority w:val="0"/>
    <w:rPr>
      <w:rFonts w:ascii="Cambria" w:hAnsi="Cambria" w:eastAsia="宋体"/>
      <w:b/>
      <w:bCs/>
      <w:kern w:val="2"/>
      <w:sz w:val="28"/>
      <w:szCs w:val="32"/>
      <w:lang w:val="zh-CN" w:eastAsia="zh-CN" w:bidi="ar-SA"/>
    </w:rPr>
  </w:style>
  <w:style w:type="character" w:customStyle="1" w:styleId="134">
    <w:name w:val="Comment Subject Char"/>
    <w:qFormat/>
    <w:uiPriority w:val="0"/>
    <w:rPr>
      <w:rFonts w:ascii="等线" w:hAnsi="等线" w:eastAsia="等线" w:cs="Times New Roman"/>
      <w:b/>
      <w:sz w:val="24"/>
      <w:lang w:val="zh-CN" w:eastAsia="zh-CN"/>
    </w:rPr>
  </w:style>
  <w:style w:type="character" w:customStyle="1" w:styleId="135">
    <w:name w:val="displayarti"/>
    <w:qFormat/>
    <w:uiPriority w:val="0"/>
    <w:rPr>
      <w:color w:val="FFFFFF"/>
      <w:shd w:val="clear" w:color="auto" w:fill="A00000"/>
    </w:rPr>
  </w:style>
  <w:style w:type="character" w:customStyle="1" w:styleId="136">
    <w:name w:val="inq1"/>
    <w:qFormat/>
    <w:uiPriority w:val="0"/>
    <w:rPr>
      <w:szCs w:val="21"/>
    </w:rPr>
  </w:style>
  <w:style w:type="character" w:customStyle="1" w:styleId="137">
    <w:name w:val="z-窗体底端 Char"/>
    <w:link w:val="138"/>
    <w:qFormat/>
    <w:uiPriority w:val="0"/>
    <w:rPr>
      <w:rFonts w:ascii="Arial"/>
      <w:vanish/>
      <w:kern w:val="2"/>
      <w:sz w:val="16"/>
      <w:szCs w:val="24"/>
    </w:rPr>
  </w:style>
  <w:style w:type="paragraph" w:customStyle="1" w:styleId="138">
    <w:name w:val="HTML Bottom of Form"/>
    <w:basedOn w:val="1"/>
    <w:next w:val="1"/>
    <w:link w:val="137"/>
    <w:qFormat/>
    <w:uiPriority w:val="0"/>
    <w:pPr>
      <w:widowControl w:val="0"/>
      <w:pBdr>
        <w:top w:val="single" w:color="auto" w:sz="6" w:space="1"/>
      </w:pBdr>
      <w:spacing w:line="240" w:lineRule="auto"/>
      <w:jc w:val="center"/>
      <w:textAlignment w:val="auto"/>
    </w:pPr>
    <w:rPr>
      <w:rFonts w:ascii="Arial"/>
      <w:vanish/>
      <w:kern w:val="2"/>
      <w:sz w:val="16"/>
      <w:szCs w:val="24"/>
    </w:rPr>
  </w:style>
  <w:style w:type="character" w:customStyle="1" w:styleId="139">
    <w:name w:val="hover4"/>
    <w:basedOn w:val="41"/>
    <w:qFormat/>
    <w:uiPriority w:val="0"/>
  </w:style>
  <w:style w:type="character" w:customStyle="1" w:styleId="140">
    <w:name w:val="标题 3 字符"/>
    <w:qFormat/>
    <w:uiPriority w:val="0"/>
    <w:rPr>
      <w:rFonts w:ascii="Times New Roman" w:hAnsi="Times New Roman" w:eastAsia="宋体" w:cs="Times New Roman"/>
      <w:b/>
      <w:bCs/>
      <w:color w:val="000000"/>
      <w:kern w:val="0"/>
      <w:sz w:val="32"/>
      <w:szCs w:val="32"/>
    </w:rPr>
  </w:style>
  <w:style w:type="character" w:customStyle="1" w:styleId="141">
    <w:name w:val="标题 字符1"/>
    <w:qFormat/>
    <w:uiPriority w:val="0"/>
    <w:rPr>
      <w:rFonts w:ascii="等线 Light" w:hAnsi="等线 Light" w:eastAsia="等线 Light" w:cs="Times New Roman"/>
      <w:b/>
      <w:bCs/>
      <w:color w:val="000000"/>
      <w:kern w:val="0"/>
      <w:sz w:val="32"/>
      <w:szCs w:val="32"/>
    </w:rPr>
  </w:style>
  <w:style w:type="character" w:customStyle="1" w:styleId="142">
    <w:name w:val="font01"/>
    <w:qFormat/>
    <w:uiPriority w:val="0"/>
    <w:rPr>
      <w:rFonts w:hint="eastAsia" w:ascii="宋体" w:hAnsi="宋体" w:eastAsia="宋体" w:cs="宋体"/>
      <w:b/>
      <w:color w:val="000000"/>
      <w:sz w:val="22"/>
      <w:szCs w:val="22"/>
      <w:u w:val="none"/>
    </w:rPr>
  </w:style>
  <w:style w:type="character" w:customStyle="1" w:styleId="143">
    <w:name w:val="fafa_online2"/>
    <w:qFormat/>
    <w:uiPriority w:val="0"/>
    <w:rPr>
      <w:szCs w:val="21"/>
    </w:rPr>
  </w:style>
  <w:style w:type="character" w:customStyle="1" w:styleId="144">
    <w:name w:val="subject"/>
    <w:qFormat/>
    <w:uiPriority w:val="0"/>
    <w:rPr>
      <w:b/>
      <w:sz w:val="36"/>
      <w:szCs w:val="36"/>
    </w:rPr>
  </w:style>
  <w:style w:type="character" w:customStyle="1" w:styleId="145">
    <w:name w:val="p_danw"/>
    <w:qFormat/>
    <w:uiPriority w:val="0"/>
    <w:rPr>
      <w:szCs w:val="21"/>
    </w:rPr>
  </w:style>
  <w:style w:type="character" w:customStyle="1" w:styleId="146">
    <w:name w:val="Char Char11"/>
    <w:qFormat/>
    <w:uiPriority w:val="0"/>
    <w:rPr>
      <w:rFonts w:ascii="Arial" w:hAnsi="Arial" w:eastAsia="黑体"/>
      <w:b/>
      <w:bCs/>
      <w:sz w:val="24"/>
      <w:szCs w:val="24"/>
    </w:rPr>
  </w:style>
  <w:style w:type="character" w:customStyle="1" w:styleId="147">
    <w:name w:val="title3"/>
    <w:qFormat/>
    <w:uiPriority w:val="0"/>
  </w:style>
  <w:style w:type="character" w:customStyle="1" w:styleId="148">
    <w:name w:val="Char Char17"/>
    <w:qFormat/>
    <w:uiPriority w:val="0"/>
    <w:rPr>
      <w:rFonts w:ascii="Calibri Light" w:hAnsi="Calibri Light" w:eastAsia="宋体"/>
      <w:bCs/>
      <w:kern w:val="28"/>
      <w:sz w:val="21"/>
      <w:szCs w:val="32"/>
      <w:lang w:val="zh-CN" w:eastAsia="zh-CN" w:bidi="ar-SA"/>
    </w:rPr>
  </w:style>
  <w:style w:type="character" w:customStyle="1" w:styleId="149">
    <w:name w:val="red2"/>
    <w:qFormat/>
    <w:uiPriority w:val="0"/>
    <w:rPr>
      <w:color w:val="EB504C"/>
      <w:szCs w:val="21"/>
    </w:rPr>
  </w:style>
  <w:style w:type="character" w:customStyle="1" w:styleId="150">
    <w:name w:val="i-cont-detail"/>
    <w:qFormat/>
    <w:uiPriority w:val="0"/>
    <w:rPr>
      <w:szCs w:val="21"/>
    </w:rPr>
  </w:style>
  <w:style w:type="character" w:customStyle="1" w:styleId="151">
    <w:name w:val="tags-warn"/>
    <w:qFormat/>
    <w:uiPriority w:val="0"/>
    <w:rPr>
      <w:color w:val="5C0909"/>
      <w:szCs w:val="21"/>
      <w:shd w:val="clear" w:color="auto" w:fill="F2C9C9"/>
    </w:rPr>
  </w:style>
  <w:style w:type="character" w:customStyle="1" w:styleId="152">
    <w:name w:val="now"/>
    <w:qFormat/>
    <w:uiPriority w:val="0"/>
    <w:rPr>
      <w:szCs w:val="21"/>
    </w:rPr>
  </w:style>
  <w:style w:type="character" w:customStyle="1" w:styleId="153">
    <w:name w:val="bds_more1"/>
    <w:qFormat/>
    <w:uiPriority w:val="0"/>
    <w:rPr>
      <w:rFonts w:ascii="宋体 ! important" w:hAnsi="宋体 ! important" w:eastAsia="宋体 ! important" w:cs="宋体 ! important"/>
      <w:color w:val="454545"/>
      <w:sz w:val="18"/>
      <w:szCs w:val="18"/>
    </w:rPr>
  </w:style>
  <w:style w:type="character" w:customStyle="1" w:styleId="154">
    <w:name w:val="Date Char"/>
    <w:qFormat/>
    <w:uiPriority w:val="0"/>
    <w:rPr>
      <w:rFonts w:ascii="Arial" w:hAnsi="Arial" w:eastAsia="仿宋_GB2312" w:cs="Times New Roman"/>
      <w:color w:val="000000"/>
      <w:sz w:val="32"/>
    </w:rPr>
  </w:style>
  <w:style w:type="character" w:customStyle="1" w:styleId="155">
    <w:name w:val="hover3"/>
    <w:basedOn w:val="41"/>
    <w:qFormat/>
    <w:uiPriority w:val="0"/>
    <w:rPr>
      <w:color w:val="2590EB"/>
      <w:shd w:val="clear" w:color="auto" w:fill="E9F4FD"/>
    </w:rPr>
  </w:style>
  <w:style w:type="character" w:customStyle="1" w:styleId="156">
    <w:name w:val="bds_nopic2"/>
    <w:qFormat/>
    <w:uiPriority w:val="0"/>
    <w:rPr>
      <w:szCs w:val="21"/>
    </w:rPr>
  </w:style>
  <w:style w:type="character" w:customStyle="1" w:styleId="157">
    <w:name w:val="article-term"/>
    <w:qFormat/>
    <w:uiPriority w:val="0"/>
    <w:rPr>
      <w:szCs w:val="21"/>
    </w:rPr>
  </w:style>
  <w:style w:type="character" w:customStyle="1" w:styleId="158">
    <w:name w:val="hover"/>
    <w:basedOn w:val="41"/>
    <w:qFormat/>
    <w:uiPriority w:val="0"/>
    <w:rPr>
      <w:color w:val="2590EB"/>
    </w:rPr>
  </w:style>
  <w:style w:type="character" w:customStyle="1" w:styleId="159">
    <w:name w:val="【正文】 Char Char"/>
    <w:link w:val="160"/>
    <w:qFormat/>
    <w:uiPriority w:val="0"/>
    <w:rPr>
      <w:sz w:val="24"/>
      <w:lang w:bidi="ar-SA"/>
    </w:rPr>
  </w:style>
  <w:style w:type="paragraph" w:customStyle="1" w:styleId="160">
    <w:name w:val="【正文】"/>
    <w:basedOn w:val="1"/>
    <w:link w:val="159"/>
    <w:qFormat/>
    <w:uiPriority w:val="0"/>
    <w:pPr>
      <w:widowControl w:val="0"/>
      <w:spacing w:line="360" w:lineRule="auto"/>
      <w:ind w:firstLine="480" w:firstLineChars="200"/>
      <w:textAlignment w:val="auto"/>
    </w:pPr>
    <w:rPr>
      <w:sz w:val="24"/>
    </w:rPr>
  </w:style>
  <w:style w:type="character" w:customStyle="1" w:styleId="161">
    <w:name w:val="纯文本 Char"/>
    <w:qFormat/>
    <w:uiPriority w:val="0"/>
    <w:rPr>
      <w:rFonts w:ascii="宋体" w:hAnsi="Courier New" w:cs="Courier New"/>
      <w:kern w:val="2"/>
      <w:sz w:val="21"/>
      <w:szCs w:val="21"/>
    </w:rPr>
  </w:style>
  <w:style w:type="character" w:customStyle="1" w:styleId="162">
    <w:name w:val="纯文本 Char1"/>
    <w:qFormat/>
    <w:uiPriority w:val="0"/>
    <w:rPr>
      <w:rFonts w:ascii="宋体" w:hAnsi="Courier New" w:eastAsia="宋体"/>
      <w:kern w:val="2"/>
      <w:sz w:val="21"/>
      <w:lang w:val="en-US" w:eastAsia="zh-CN" w:bidi="ar-SA"/>
    </w:rPr>
  </w:style>
  <w:style w:type="character" w:customStyle="1" w:styleId="163">
    <w:name w:val="page_start"/>
    <w:qFormat/>
    <w:uiPriority w:val="0"/>
    <w:rPr>
      <w:szCs w:val="21"/>
      <w:bdr w:val="single" w:color="CCCCCC" w:sz="6" w:space="0"/>
    </w:rPr>
  </w:style>
  <w:style w:type="character" w:customStyle="1" w:styleId="164">
    <w:name w:val="inq"/>
    <w:qFormat/>
    <w:uiPriority w:val="0"/>
    <w:rPr>
      <w:color w:val="333333"/>
      <w:szCs w:val="21"/>
    </w:rPr>
  </w:style>
  <w:style w:type="character" w:customStyle="1" w:styleId="165">
    <w:name w:val="price-down"/>
    <w:qFormat/>
    <w:uiPriority w:val="0"/>
    <w:rPr>
      <w:sz w:val="18"/>
      <w:szCs w:val="18"/>
    </w:rPr>
  </w:style>
  <w:style w:type="character" w:customStyle="1" w:styleId="166">
    <w:name w:val="Body Text Indent 2 Char"/>
    <w:qFormat/>
    <w:uiPriority w:val="0"/>
    <w:rPr>
      <w:rFonts w:cs="Times New Roman"/>
      <w:sz w:val="24"/>
    </w:rPr>
  </w:style>
  <w:style w:type="character" w:customStyle="1" w:styleId="167">
    <w:name w:val="NormalCharacter"/>
    <w:qFormat/>
    <w:uiPriority w:val="0"/>
  </w:style>
  <w:style w:type="character" w:customStyle="1" w:styleId="168">
    <w:name w:val="页眉 Char Char Char"/>
    <w:qFormat/>
    <w:uiPriority w:val="0"/>
    <w:rPr>
      <w:rFonts w:eastAsia="宋体"/>
      <w:color w:val="000000"/>
      <w:sz w:val="18"/>
      <w:szCs w:val="18"/>
      <w:lang w:val="en-US" w:eastAsia="zh-CN" w:bidi="ar-SA"/>
    </w:rPr>
  </w:style>
  <w:style w:type="character" w:customStyle="1" w:styleId="169">
    <w:name w:val="p-star-gray"/>
    <w:qFormat/>
    <w:uiPriority w:val="0"/>
    <w:rPr>
      <w:szCs w:val="21"/>
    </w:rPr>
  </w:style>
  <w:style w:type="character" w:customStyle="1" w:styleId="170">
    <w:name w:val="spsel"/>
    <w:qFormat/>
    <w:uiPriority w:val="0"/>
    <w:rPr>
      <w:color w:val="EB504C"/>
      <w:szCs w:val="21"/>
    </w:rPr>
  </w:style>
  <w:style w:type="character" w:customStyle="1" w:styleId="171">
    <w:name w:val="标题 6 字符"/>
    <w:qFormat/>
    <w:uiPriority w:val="0"/>
    <w:rPr>
      <w:rFonts w:ascii="Cambria" w:hAnsi="Cambria" w:eastAsia="宋体" w:cs="Times New Roman"/>
      <w:b/>
      <w:bCs/>
      <w:color w:val="000000"/>
      <w:kern w:val="0"/>
      <w:sz w:val="24"/>
      <w:szCs w:val="24"/>
    </w:rPr>
  </w:style>
  <w:style w:type="character" w:customStyle="1" w:styleId="172">
    <w:name w:val="bds_nopic1"/>
    <w:qFormat/>
    <w:uiPriority w:val="0"/>
    <w:rPr>
      <w:szCs w:val="21"/>
    </w:rPr>
  </w:style>
  <w:style w:type="character" w:customStyle="1" w:styleId="173">
    <w:name w:val="subject1"/>
    <w:qFormat/>
    <w:uiPriority w:val="0"/>
    <w:rPr>
      <w:sz w:val="28"/>
      <w:szCs w:val="28"/>
      <w:shd w:val="clear" w:color="auto" w:fill="EEEEEE"/>
    </w:rPr>
  </w:style>
  <w:style w:type="character" w:customStyle="1" w:styleId="174">
    <w:name w:val="font11"/>
    <w:qFormat/>
    <w:uiPriority w:val="0"/>
    <w:rPr>
      <w:rFonts w:hint="eastAsia" w:ascii="宋体" w:hAnsi="宋体" w:eastAsia="宋体" w:cs="宋体"/>
      <w:color w:val="000000"/>
      <w:sz w:val="24"/>
      <w:szCs w:val="24"/>
      <w:u w:val="none"/>
    </w:rPr>
  </w:style>
  <w:style w:type="character" w:customStyle="1" w:styleId="175">
    <w:name w:val="Char Char27"/>
    <w:qFormat/>
    <w:uiPriority w:val="0"/>
    <w:rPr>
      <w:rFonts w:ascii="黑体" w:hAnsi="Calibri" w:eastAsia="黑体"/>
      <w:sz w:val="52"/>
      <w:lang w:val="en-US" w:eastAsia="zh-CN" w:bidi="ar-SA"/>
    </w:rPr>
  </w:style>
  <w:style w:type="character" w:customStyle="1" w:styleId="176">
    <w:name w:val="fafa_nonline"/>
    <w:qFormat/>
    <w:uiPriority w:val="0"/>
    <w:rPr>
      <w:szCs w:val="21"/>
    </w:rPr>
  </w:style>
  <w:style w:type="character" w:customStyle="1" w:styleId="177">
    <w:name w:val="Char Char151"/>
    <w:qFormat/>
    <w:uiPriority w:val="0"/>
    <w:rPr>
      <w:rFonts w:ascii="黑体" w:eastAsia="黑体"/>
      <w:sz w:val="52"/>
    </w:rPr>
  </w:style>
  <w:style w:type="character" w:customStyle="1" w:styleId="178">
    <w:name w:val="article-highlight"/>
    <w:qFormat/>
    <w:uiPriority w:val="0"/>
    <w:rPr>
      <w:color w:val="FF0000"/>
      <w:szCs w:val="21"/>
    </w:rPr>
  </w:style>
  <w:style w:type="character" w:customStyle="1" w:styleId="179">
    <w:name w:val="current"/>
    <w:qFormat/>
    <w:uiPriority w:val="0"/>
    <w:rPr>
      <w:b/>
      <w:color w:val="FFFFFF"/>
      <w:szCs w:val="21"/>
      <w:bdr w:val="single" w:color="E83336" w:sz="6" w:space="0"/>
      <w:shd w:val="clear" w:color="auto" w:fill="E83336"/>
    </w:rPr>
  </w:style>
  <w:style w:type="character" w:customStyle="1" w:styleId="180">
    <w:name w:val="批注框文本 字符1"/>
    <w:qFormat/>
    <w:uiPriority w:val="0"/>
    <w:rPr>
      <w:sz w:val="18"/>
    </w:rPr>
  </w:style>
  <w:style w:type="character" w:customStyle="1" w:styleId="181">
    <w:name w:val="Char Char26"/>
    <w:qFormat/>
    <w:uiPriority w:val="0"/>
    <w:rPr>
      <w:rFonts w:ascii="Calibri" w:hAnsi="Calibri" w:eastAsia="宋体"/>
      <w:sz w:val="24"/>
      <w:lang w:val="en-US" w:eastAsia="zh-CN" w:bidi="ar-SA"/>
    </w:rPr>
  </w:style>
  <w:style w:type="character" w:customStyle="1" w:styleId="182">
    <w:name w:val="hover11"/>
    <w:qFormat/>
    <w:uiPriority w:val="0"/>
    <w:rPr>
      <w:color w:val="0090D7"/>
      <w:szCs w:val="21"/>
    </w:rPr>
  </w:style>
  <w:style w:type="character" w:customStyle="1" w:styleId="183">
    <w:name w:val="i-d-text"/>
    <w:qFormat/>
    <w:uiPriority w:val="0"/>
    <w:rPr>
      <w:szCs w:val="21"/>
    </w:rPr>
  </w:style>
  <w:style w:type="character" w:customStyle="1" w:styleId="184">
    <w:name w:val="font101"/>
    <w:qFormat/>
    <w:uiPriority w:val="0"/>
    <w:rPr>
      <w:rFonts w:hint="eastAsia" w:ascii="宋体" w:hAnsi="宋体" w:eastAsia="宋体" w:cs="宋体"/>
      <w:b/>
      <w:color w:val="000000"/>
      <w:sz w:val="22"/>
      <w:szCs w:val="22"/>
      <w:u w:val="none"/>
    </w:rPr>
  </w:style>
  <w:style w:type="character" w:customStyle="1" w:styleId="185">
    <w:name w:val="has-msg"/>
    <w:qFormat/>
    <w:uiPriority w:val="0"/>
    <w:rPr>
      <w:szCs w:val="21"/>
    </w:rPr>
  </w:style>
  <w:style w:type="character" w:customStyle="1" w:styleId="186">
    <w:name w:val="first-child"/>
    <w:qFormat/>
    <w:uiPriority w:val="0"/>
  </w:style>
  <w:style w:type="character" w:customStyle="1" w:styleId="187">
    <w:name w:val="hover66"/>
    <w:qFormat/>
    <w:uiPriority w:val="0"/>
    <w:rPr>
      <w:color w:val="FFFFFF"/>
      <w:szCs w:val="21"/>
      <w:shd w:val="clear" w:color="auto" w:fill="3377AA"/>
    </w:rPr>
  </w:style>
  <w:style w:type="character" w:customStyle="1" w:styleId="188">
    <w:name w:val="font51"/>
    <w:qFormat/>
    <w:uiPriority w:val="0"/>
    <w:rPr>
      <w:rFonts w:hint="eastAsia" w:ascii="宋体" w:hAnsi="宋体" w:eastAsia="宋体" w:cs="宋体"/>
      <w:color w:val="000000"/>
      <w:sz w:val="22"/>
      <w:szCs w:val="22"/>
      <w:u w:val="none"/>
    </w:rPr>
  </w:style>
  <w:style w:type="character" w:customStyle="1" w:styleId="189">
    <w:name w:val="Char Char13"/>
    <w:qFormat/>
    <w:uiPriority w:val="0"/>
    <w:rPr>
      <w:rFonts w:ascii="宋体" w:hAnsi="Courier New" w:eastAsia="宋体"/>
      <w:kern w:val="2"/>
      <w:sz w:val="21"/>
      <w:lang w:val="en-US" w:eastAsia="zh-CN" w:bidi="ar-SA"/>
    </w:rPr>
  </w:style>
  <w:style w:type="character" w:customStyle="1" w:styleId="190">
    <w:name w:val="current1"/>
    <w:qFormat/>
    <w:uiPriority w:val="0"/>
    <w:rPr>
      <w:b/>
      <w:color w:val="FFFFFF"/>
      <w:szCs w:val="21"/>
      <w:bdr w:val="single" w:color="E83336" w:sz="6" w:space="0"/>
      <w:shd w:val="clear" w:color="auto" w:fill="E83336"/>
    </w:rPr>
  </w:style>
  <w:style w:type="character" w:customStyle="1" w:styleId="191">
    <w:name w:val="s_trbbx2"/>
    <w:qFormat/>
    <w:uiPriority w:val="0"/>
    <w:rPr>
      <w:szCs w:val="21"/>
      <w:bdr w:val="single" w:color="FF9000" w:sz="6" w:space="0"/>
      <w:shd w:val="clear" w:color="auto" w:fill="FFFAF0"/>
    </w:rPr>
  </w:style>
  <w:style w:type="character" w:customStyle="1" w:styleId="192">
    <w:name w:val="日期 字符1"/>
    <w:qFormat/>
    <w:uiPriority w:val="0"/>
    <w:rPr>
      <w:rFonts w:ascii="Times New Roman" w:hAnsi="Times New Roman" w:eastAsia="宋体" w:cs="Times New Roman"/>
      <w:color w:val="000000"/>
      <w:kern w:val="0"/>
      <w:szCs w:val="20"/>
    </w:rPr>
  </w:style>
  <w:style w:type="character" w:customStyle="1" w:styleId="193">
    <w:name w:val="font13"/>
    <w:basedOn w:val="41"/>
    <w:qFormat/>
    <w:uiPriority w:val="0"/>
    <w:rPr>
      <w:rFonts w:hint="eastAsia" w:ascii="宋体" w:hAnsi="宋体" w:eastAsia="宋体" w:cs="宋体"/>
      <w:color w:val="333333"/>
      <w:sz w:val="24"/>
      <w:szCs w:val="24"/>
      <w:u w:val="none"/>
    </w:rPr>
  </w:style>
  <w:style w:type="character" w:customStyle="1" w:styleId="194">
    <w:name w:val="Char Char10"/>
    <w:qFormat/>
    <w:uiPriority w:val="0"/>
    <w:rPr>
      <w:rFonts w:eastAsia="宋体"/>
      <w:b/>
      <w:bCs/>
      <w:color w:val="000000"/>
      <w:sz w:val="21"/>
      <w:lang w:val="en-US" w:eastAsia="zh-CN" w:bidi="ar-SA"/>
    </w:rPr>
  </w:style>
  <w:style w:type="character" w:customStyle="1" w:styleId="195">
    <w:name w:val="font21"/>
    <w:qFormat/>
    <w:uiPriority w:val="0"/>
    <w:rPr>
      <w:rFonts w:hint="eastAsia" w:ascii="宋体" w:hAnsi="宋体" w:eastAsia="宋体" w:cs="宋体"/>
      <w:color w:val="000000"/>
      <w:sz w:val="20"/>
      <w:szCs w:val="20"/>
      <w:u w:val="none"/>
    </w:rPr>
  </w:style>
  <w:style w:type="character" w:customStyle="1" w:styleId="196">
    <w:name w:val="Char Char25"/>
    <w:qFormat/>
    <w:uiPriority w:val="0"/>
    <w:rPr>
      <w:rFonts w:ascii="Calibri" w:hAnsi="Calibri" w:eastAsia="宋体"/>
      <w:b/>
      <w:bCs/>
      <w:color w:val="000000"/>
      <w:sz w:val="32"/>
      <w:szCs w:val="32"/>
      <w:lang w:val="en-US" w:eastAsia="zh-CN" w:bidi="ar-SA"/>
    </w:rPr>
  </w:style>
  <w:style w:type="character" w:customStyle="1" w:styleId="197">
    <w:name w:val="selected"/>
    <w:qFormat/>
    <w:uiPriority w:val="0"/>
    <w:rPr>
      <w:shd w:val="clear" w:color="auto" w:fill="B00006"/>
    </w:rPr>
  </w:style>
  <w:style w:type="character" w:customStyle="1" w:styleId="198">
    <w:name w:val="纯文本 字符"/>
    <w:qFormat/>
    <w:uiPriority w:val="0"/>
    <w:rPr>
      <w:rFonts w:ascii="宋体" w:hAnsi="Courier New" w:eastAsia="宋体"/>
    </w:rPr>
  </w:style>
  <w:style w:type="character" w:customStyle="1" w:styleId="199">
    <w:name w:val="hover1"/>
    <w:basedOn w:val="41"/>
    <w:qFormat/>
    <w:uiPriority w:val="0"/>
  </w:style>
  <w:style w:type="character" w:customStyle="1" w:styleId="200">
    <w:name w:val="bds_nopic"/>
    <w:qFormat/>
    <w:uiPriority w:val="0"/>
    <w:rPr>
      <w:szCs w:val="21"/>
    </w:rPr>
  </w:style>
  <w:style w:type="character" w:customStyle="1" w:styleId="201">
    <w:name w:val="param-name"/>
    <w:qFormat/>
    <w:uiPriority w:val="0"/>
    <w:rPr>
      <w:szCs w:val="21"/>
    </w:rPr>
  </w:style>
  <w:style w:type="character" w:customStyle="1" w:styleId="202">
    <w:name w:val="Char Char111"/>
    <w:qFormat/>
    <w:uiPriority w:val="0"/>
    <w:rPr>
      <w:rFonts w:ascii="Arial" w:hAnsi="Arial" w:eastAsia="黑体"/>
      <w:b/>
      <w:bCs/>
      <w:sz w:val="24"/>
      <w:szCs w:val="24"/>
    </w:rPr>
  </w:style>
  <w:style w:type="character" w:customStyle="1" w:styleId="203">
    <w:name w:val="txtline"/>
    <w:qFormat/>
    <w:uiPriority w:val="0"/>
    <w:rPr>
      <w:szCs w:val="21"/>
    </w:rPr>
  </w:style>
  <w:style w:type="character" w:customStyle="1" w:styleId="204">
    <w:name w:val="p-star"/>
    <w:qFormat/>
    <w:uiPriority w:val="0"/>
    <w:rPr>
      <w:szCs w:val="21"/>
    </w:rPr>
  </w:style>
  <w:style w:type="character" w:customStyle="1" w:styleId="205">
    <w:name w:val="font31"/>
    <w:qFormat/>
    <w:uiPriority w:val="0"/>
    <w:rPr>
      <w:rFonts w:hint="eastAsia" w:ascii="宋体" w:hAnsi="宋体" w:eastAsia="宋体" w:cs="宋体"/>
      <w:color w:val="000000"/>
      <w:sz w:val="22"/>
      <w:szCs w:val="22"/>
      <w:u w:val="none"/>
    </w:rPr>
  </w:style>
  <w:style w:type="character" w:customStyle="1" w:styleId="206">
    <w:name w:val="fafa_phone"/>
    <w:qFormat/>
    <w:uiPriority w:val="0"/>
    <w:rPr>
      <w:szCs w:val="21"/>
    </w:rPr>
  </w:style>
  <w:style w:type="character" w:customStyle="1" w:styleId="207">
    <w:name w:val="font81"/>
    <w:qFormat/>
    <w:uiPriority w:val="0"/>
    <w:rPr>
      <w:rFonts w:hint="eastAsia" w:ascii="宋体" w:hAnsi="宋体" w:eastAsia="宋体" w:cs="宋体"/>
      <w:color w:val="FF0000"/>
      <w:sz w:val="22"/>
      <w:szCs w:val="22"/>
      <w:u w:val="none"/>
    </w:rPr>
  </w:style>
  <w:style w:type="character" w:customStyle="1" w:styleId="208">
    <w:name w:val="批注框文本 Char Char"/>
    <w:qFormat/>
    <w:uiPriority w:val="0"/>
    <w:rPr>
      <w:rFonts w:ascii="Times New Roman" w:hAnsi="Times New Roman" w:eastAsia="宋体" w:cs="Times New Roman"/>
      <w:kern w:val="2"/>
      <w:sz w:val="18"/>
      <w:szCs w:val="18"/>
    </w:rPr>
  </w:style>
  <w:style w:type="character" w:customStyle="1" w:styleId="209">
    <w:name w:val="font91"/>
    <w:qFormat/>
    <w:uiPriority w:val="0"/>
    <w:rPr>
      <w:rFonts w:hint="eastAsia" w:ascii="宋体" w:hAnsi="宋体" w:eastAsia="宋体" w:cs="宋体"/>
      <w:color w:val="000000"/>
      <w:sz w:val="32"/>
      <w:szCs w:val="32"/>
      <w:u w:val="none"/>
    </w:rPr>
  </w:style>
  <w:style w:type="character" w:customStyle="1" w:styleId="210">
    <w:name w:val="Plain Text Char Char"/>
    <w:qFormat/>
    <w:uiPriority w:val="0"/>
    <w:rPr>
      <w:rFonts w:ascii="宋体" w:cs="Times New Roman"/>
      <w:color w:val="000000"/>
    </w:rPr>
  </w:style>
  <w:style w:type="character" w:customStyle="1" w:styleId="211">
    <w:name w:val="标题 7 字符"/>
    <w:qFormat/>
    <w:uiPriority w:val="0"/>
    <w:rPr>
      <w:rFonts w:ascii="Times New Roman" w:hAnsi="Times New Roman" w:eastAsia="宋体" w:cs="Times New Roman"/>
      <w:b/>
      <w:bCs/>
      <w:kern w:val="0"/>
      <w:sz w:val="24"/>
      <w:szCs w:val="24"/>
    </w:rPr>
  </w:style>
  <w:style w:type="character" w:customStyle="1" w:styleId="212">
    <w:name w:val="gray6"/>
    <w:qFormat/>
    <w:uiPriority w:val="0"/>
    <w:rPr>
      <w:strike/>
      <w:color w:val="9F9F9F"/>
      <w:szCs w:val="21"/>
    </w:rPr>
  </w:style>
  <w:style w:type="character" w:customStyle="1" w:styleId="213">
    <w:name w:val="Footer Char"/>
    <w:qFormat/>
    <w:uiPriority w:val="0"/>
    <w:rPr>
      <w:rFonts w:ascii="Times New Roman" w:hAnsi="Times New Roman" w:eastAsia="宋体" w:cs="Times New Roman"/>
      <w:sz w:val="18"/>
      <w:szCs w:val="18"/>
      <w:lang w:val="zh-CN" w:eastAsia="zh-CN"/>
    </w:rPr>
  </w:style>
  <w:style w:type="character" w:customStyle="1" w:styleId="214">
    <w:name w:val="正文（缩进） Char Char"/>
    <w:link w:val="215"/>
    <w:qFormat/>
    <w:uiPriority w:val="0"/>
    <w:rPr>
      <w:rFonts w:eastAsia="宋体"/>
      <w:kern w:val="2"/>
      <w:sz w:val="24"/>
      <w:szCs w:val="24"/>
      <w:lang w:val="en-US" w:eastAsia="zh-CN" w:bidi="ar-SA"/>
    </w:rPr>
  </w:style>
  <w:style w:type="paragraph" w:customStyle="1" w:styleId="215">
    <w:name w:val="正文（缩进）"/>
    <w:basedOn w:val="1"/>
    <w:link w:val="214"/>
    <w:qFormat/>
    <w:uiPriority w:val="0"/>
    <w:pPr>
      <w:widowControl w:val="0"/>
      <w:spacing w:beforeLines="50" w:afterLines="50" w:line="360" w:lineRule="auto"/>
      <w:ind w:firstLine="480" w:firstLineChars="200"/>
      <w:textAlignment w:val="auto"/>
    </w:pPr>
    <w:rPr>
      <w:kern w:val="2"/>
      <w:sz w:val="24"/>
      <w:szCs w:val="24"/>
    </w:rPr>
  </w:style>
  <w:style w:type="character" w:customStyle="1" w:styleId="216">
    <w:name w:val="close_d"/>
    <w:qFormat/>
    <w:uiPriority w:val="0"/>
    <w:rPr>
      <w:szCs w:val="21"/>
    </w:rPr>
  </w:style>
  <w:style w:type="character" w:customStyle="1" w:styleId="217">
    <w:name w:val="i-price-num"/>
    <w:qFormat/>
    <w:uiPriority w:val="0"/>
    <w:rPr>
      <w:b/>
      <w:color w:val="FF0000"/>
      <w:szCs w:val="21"/>
    </w:rPr>
  </w:style>
  <w:style w:type="character" w:customStyle="1" w:styleId="218">
    <w:name w:val="i-date"/>
    <w:qFormat/>
    <w:uiPriority w:val="0"/>
    <w:rPr>
      <w:szCs w:val="21"/>
    </w:rPr>
  </w:style>
  <w:style w:type="character" w:customStyle="1" w:styleId="219">
    <w:name w:val="z-窗体顶端 Char"/>
    <w:link w:val="220"/>
    <w:qFormat/>
    <w:uiPriority w:val="0"/>
    <w:rPr>
      <w:rFonts w:ascii="Arial"/>
      <w:vanish/>
      <w:kern w:val="2"/>
      <w:sz w:val="16"/>
      <w:szCs w:val="24"/>
    </w:rPr>
  </w:style>
  <w:style w:type="paragraph" w:customStyle="1" w:styleId="220">
    <w:name w:val="HTML Top of Form"/>
    <w:basedOn w:val="1"/>
    <w:next w:val="1"/>
    <w:link w:val="219"/>
    <w:qFormat/>
    <w:uiPriority w:val="0"/>
    <w:pPr>
      <w:widowControl w:val="0"/>
      <w:pBdr>
        <w:bottom w:val="single" w:color="auto" w:sz="6" w:space="1"/>
      </w:pBdr>
      <w:spacing w:line="240" w:lineRule="auto"/>
      <w:jc w:val="center"/>
      <w:textAlignment w:val="auto"/>
    </w:pPr>
    <w:rPr>
      <w:rFonts w:ascii="Arial"/>
      <w:vanish/>
      <w:kern w:val="2"/>
      <w:sz w:val="16"/>
      <w:szCs w:val="24"/>
    </w:rPr>
  </w:style>
  <w:style w:type="character" w:customStyle="1" w:styleId="221">
    <w:name w:val="enable3"/>
    <w:qFormat/>
    <w:uiPriority w:val="0"/>
    <w:rPr>
      <w:szCs w:val="21"/>
    </w:rPr>
  </w:style>
  <w:style w:type="character" w:customStyle="1" w:styleId="222">
    <w:name w:val="up2"/>
    <w:qFormat/>
    <w:uiPriority w:val="0"/>
    <w:rPr>
      <w:szCs w:val="21"/>
    </w:rPr>
  </w:style>
  <w:style w:type="character" w:customStyle="1" w:styleId="223">
    <w:name w:val="正文缩进 Char Char"/>
    <w:qFormat/>
    <w:uiPriority w:val="0"/>
    <w:rPr>
      <w:rFonts w:eastAsia="宋体"/>
      <w:kern w:val="2"/>
      <w:sz w:val="21"/>
      <w:szCs w:val="24"/>
      <w:lang w:val="en-US" w:eastAsia="zh-CN" w:bidi="ar-SA"/>
    </w:rPr>
  </w:style>
  <w:style w:type="character" w:customStyle="1" w:styleId="224">
    <w:name w:val="Char Char20"/>
    <w:qFormat/>
    <w:uiPriority w:val="0"/>
    <w:rPr>
      <w:rFonts w:ascii="Arial" w:hAnsi="Arial" w:eastAsia="黑体"/>
      <w:sz w:val="24"/>
      <w:szCs w:val="24"/>
      <w:lang w:val="en-US" w:eastAsia="zh-CN" w:bidi="ar-SA"/>
    </w:rPr>
  </w:style>
  <w:style w:type="character" w:customStyle="1" w:styleId="225">
    <w:name w:val="article-subject"/>
    <w:qFormat/>
    <w:uiPriority w:val="0"/>
    <w:rPr>
      <w:b/>
      <w:szCs w:val="21"/>
    </w:rPr>
  </w:style>
  <w:style w:type="character" w:customStyle="1" w:styleId="226">
    <w:name w:val="reason"/>
    <w:qFormat/>
    <w:uiPriority w:val="0"/>
    <w:rPr>
      <w:color w:val="999999"/>
      <w:szCs w:val="21"/>
    </w:rPr>
  </w:style>
  <w:style w:type="character" w:customStyle="1" w:styleId="227">
    <w:name w:val="i-cont"/>
    <w:qFormat/>
    <w:uiPriority w:val="0"/>
    <w:rPr>
      <w:szCs w:val="21"/>
    </w:rPr>
  </w:style>
  <w:style w:type="character" w:customStyle="1" w:styleId="228">
    <w:name w:val="Char Char5"/>
    <w:qFormat/>
    <w:uiPriority w:val="0"/>
    <w:rPr>
      <w:color w:val="000000"/>
      <w:sz w:val="16"/>
      <w:szCs w:val="16"/>
      <w:lang w:bidi="ar-SA"/>
    </w:rPr>
  </w:style>
  <w:style w:type="character" w:customStyle="1" w:styleId="229">
    <w:name w:val="previous"/>
    <w:qFormat/>
    <w:uiPriority w:val="0"/>
    <w:rPr>
      <w:szCs w:val="21"/>
    </w:rPr>
  </w:style>
  <w:style w:type="character" w:customStyle="1" w:styleId="230">
    <w:name w:val="Balloon Text Char"/>
    <w:qFormat/>
    <w:uiPriority w:val="0"/>
    <w:rPr>
      <w:rFonts w:ascii="Times New Roman" w:hAnsi="Times New Roman" w:eastAsia="宋体" w:cs="Times New Roman"/>
      <w:kern w:val="0"/>
      <w:sz w:val="18"/>
      <w:szCs w:val="18"/>
      <w:lang w:val="zh-CN" w:eastAsia="zh-CN"/>
    </w:rPr>
  </w:style>
  <w:style w:type="character" w:customStyle="1" w:styleId="231">
    <w:name w:val="dis1"/>
    <w:qFormat/>
    <w:uiPriority w:val="0"/>
    <w:rPr>
      <w:sz w:val="21"/>
      <w:szCs w:val="21"/>
    </w:rPr>
  </w:style>
  <w:style w:type="character" w:customStyle="1" w:styleId="232">
    <w:name w:val="p_title"/>
    <w:qFormat/>
    <w:uiPriority w:val="0"/>
    <w:rPr>
      <w:szCs w:val="21"/>
    </w:rPr>
  </w:style>
  <w:style w:type="character" w:customStyle="1" w:styleId="233">
    <w:name w:val="arrow_b"/>
    <w:qFormat/>
    <w:uiPriority w:val="0"/>
    <w:rPr>
      <w:szCs w:val="21"/>
    </w:rPr>
  </w:style>
  <w:style w:type="character" w:customStyle="1" w:styleId="234">
    <w:name w:val="图表 Char Char"/>
    <w:link w:val="235"/>
    <w:qFormat/>
    <w:uiPriority w:val="0"/>
    <w:rPr>
      <w:sz w:val="21"/>
      <w:lang w:bidi="ar-SA"/>
    </w:rPr>
  </w:style>
  <w:style w:type="paragraph" w:customStyle="1" w:styleId="235">
    <w:name w:val="图表"/>
    <w:basedOn w:val="1"/>
    <w:next w:val="1"/>
    <w:link w:val="234"/>
    <w:qFormat/>
    <w:uiPriority w:val="0"/>
    <w:pPr>
      <w:widowControl w:val="0"/>
      <w:spacing w:line="240" w:lineRule="auto"/>
      <w:jc w:val="center"/>
      <w:textAlignment w:val="auto"/>
    </w:pPr>
  </w:style>
  <w:style w:type="character" w:customStyle="1" w:styleId="236">
    <w:name w:val="hover19"/>
    <w:qFormat/>
    <w:uiPriority w:val="0"/>
    <w:rPr>
      <w:color w:val="EB504C"/>
      <w:szCs w:val="21"/>
    </w:rPr>
  </w:style>
  <w:style w:type="character" w:customStyle="1" w:styleId="237">
    <w:name w:val="up"/>
    <w:qFormat/>
    <w:uiPriority w:val="0"/>
    <w:rPr>
      <w:szCs w:val="21"/>
    </w:rPr>
  </w:style>
  <w:style w:type="character" w:customStyle="1" w:styleId="238">
    <w:name w:val="show_zss"/>
    <w:qFormat/>
    <w:uiPriority w:val="0"/>
    <w:rPr>
      <w:vanish/>
      <w:color w:val="FF6600"/>
      <w:szCs w:val="21"/>
    </w:rPr>
  </w:style>
  <w:style w:type="character" w:customStyle="1" w:styleId="239">
    <w:name w:val="security"/>
    <w:qFormat/>
    <w:uiPriority w:val="0"/>
    <w:rPr>
      <w:szCs w:val="21"/>
    </w:rPr>
  </w:style>
  <w:style w:type="character" w:customStyle="1" w:styleId="240">
    <w:name w:val="批注主题 字符1"/>
    <w:qFormat/>
    <w:uiPriority w:val="0"/>
    <w:rPr>
      <w:rFonts w:ascii="Times New Roman" w:hAnsi="Times New Roman" w:eastAsia="宋体" w:cs="Times New Roman"/>
      <w:b/>
      <w:bCs/>
      <w:color w:val="000000"/>
      <w:kern w:val="0"/>
      <w:szCs w:val="20"/>
    </w:rPr>
  </w:style>
  <w:style w:type="character" w:customStyle="1" w:styleId="241">
    <w:name w:val="Char Char24"/>
    <w:qFormat/>
    <w:uiPriority w:val="0"/>
    <w:rPr>
      <w:rFonts w:ascii="Arial" w:hAnsi="Arial" w:eastAsia="黑体"/>
      <w:b/>
      <w:bCs/>
      <w:color w:val="000000"/>
      <w:sz w:val="28"/>
      <w:szCs w:val="28"/>
      <w:lang w:val="zh-CN" w:eastAsia="zh-CN" w:bidi="ar-SA"/>
    </w:rPr>
  </w:style>
  <w:style w:type="character" w:customStyle="1" w:styleId="242">
    <w:name w:val="UserStyle_0"/>
    <w:link w:val="243"/>
    <w:qFormat/>
    <w:uiPriority w:val="0"/>
  </w:style>
  <w:style w:type="paragraph" w:customStyle="1" w:styleId="243">
    <w:name w:val="BodyText"/>
    <w:basedOn w:val="1"/>
    <w:link w:val="242"/>
    <w:qFormat/>
    <w:uiPriority w:val="0"/>
    <w:pPr>
      <w:spacing w:after="120"/>
    </w:pPr>
  </w:style>
  <w:style w:type="character" w:customStyle="1" w:styleId="244">
    <w:name w:val="s_trbbx"/>
    <w:qFormat/>
    <w:uiPriority w:val="0"/>
    <w:rPr>
      <w:szCs w:val="21"/>
      <w:bdr w:val="single" w:color="FF9000" w:sz="6" w:space="0"/>
      <w:shd w:val="clear" w:color="auto" w:fill="FFFAF0"/>
    </w:rPr>
  </w:style>
  <w:style w:type="character" w:customStyle="1" w:styleId="245">
    <w:name w:val="批注文字 字符1"/>
    <w:qFormat/>
    <w:uiPriority w:val="0"/>
    <w:rPr>
      <w:rFonts w:ascii="Times New Roman" w:hAnsi="Times New Roman" w:eastAsia="宋体" w:cs="Times New Roman"/>
      <w:color w:val="000000"/>
      <w:kern w:val="0"/>
      <w:szCs w:val="20"/>
    </w:rPr>
  </w:style>
  <w:style w:type="character" w:customStyle="1" w:styleId="246">
    <w:name w:val="Char Char8"/>
    <w:qFormat/>
    <w:uiPriority w:val="0"/>
    <w:rPr>
      <w:rFonts w:ascii="Arial" w:hAnsi="Arial" w:eastAsia="仿宋_GB2312"/>
      <w:kern w:val="2"/>
      <w:sz w:val="32"/>
      <w:lang w:val="en-US" w:eastAsia="zh-CN" w:bidi="ar-SA"/>
    </w:rPr>
  </w:style>
  <w:style w:type="character" w:customStyle="1" w:styleId="247">
    <w:name w:val="font112"/>
    <w:basedOn w:val="41"/>
    <w:qFormat/>
    <w:uiPriority w:val="0"/>
    <w:rPr>
      <w:rFonts w:hint="eastAsia" w:ascii="微软雅黑" w:hAnsi="微软雅黑" w:eastAsia="微软雅黑" w:cs="微软雅黑"/>
      <w:color w:val="000000"/>
      <w:sz w:val="22"/>
      <w:szCs w:val="22"/>
      <w:u w:val="none"/>
    </w:rPr>
  </w:style>
  <w:style w:type="character" w:customStyle="1" w:styleId="248">
    <w:name w:val="p_in"/>
    <w:uiPriority w:val="0"/>
    <w:rPr>
      <w:szCs w:val="21"/>
      <w:bdr w:val="single" w:color="CCCCCC" w:sz="6" w:space="0"/>
      <w:shd w:val="clear" w:color="auto" w:fill="FFFFFF"/>
    </w:rPr>
  </w:style>
  <w:style w:type="character" w:customStyle="1" w:styleId="249">
    <w:name w:val="font71"/>
    <w:uiPriority w:val="0"/>
    <w:rPr>
      <w:rFonts w:hint="eastAsia" w:ascii="宋体" w:hAnsi="宋体" w:eastAsia="宋体" w:cs="宋体"/>
      <w:color w:val="FF0000"/>
      <w:sz w:val="22"/>
      <w:szCs w:val="22"/>
      <w:u w:val="none"/>
    </w:rPr>
  </w:style>
  <w:style w:type="character" w:customStyle="1" w:styleId="250">
    <w:name w:val="标题 8 字符"/>
    <w:uiPriority w:val="0"/>
    <w:rPr>
      <w:rFonts w:ascii="Arial" w:hAnsi="Arial" w:eastAsia="黑体" w:cs="Times New Roman"/>
      <w:kern w:val="0"/>
      <w:sz w:val="24"/>
      <w:szCs w:val="24"/>
    </w:rPr>
  </w:style>
  <w:style w:type="character" w:customStyle="1" w:styleId="251">
    <w:name w:val="Body Text Indent Char Char"/>
    <w:uiPriority w:val="0"/>
    <w:rPr>
      <w:rFonts w:ascii="Times New Roman" w:hAnsi="Times New Roman" w:eastAsia="宋体" w:cs="Times New Roman"/>
      <w:sz w:val="24"/>
      <w:szCs w:val="24"/>
      <w:lang w:val="zh-CN" w:eastAsia="zh-CN"/>
    </w:rPr>
  </w:style>
  <w:style w:type="character" w:customStyle="1" w:styleId="252">
    <w:name w:val="页眉 字符"/>
    <w:uiPriority w:val="0"/>
    <w:rPr>
      <w:sz w:val="18"/>
      <w:szCs w:val="18"/>
    </w:rPr>
  </w:style>
  <w:style w:type="character" w:customStyle="1" w:styleId="253">
    <w:name w:val="font41"/>
    <w:uiPriority w:val="0"/>
    <w:rPr>
      <w:rFonts w:hint="eastAsia" w:ascii="宋体" w:hAnsi="宋体" w:eastAsia="宋体" w:cs="宋体"/>
      <w:color w:val="000000"/>
      <w:sz w:val="22"/>
      <w:szCs w:val="22"/>
      <w:u w:val="none"/>
    </w:rPr>
  </w:style>
  <w:style w:type="character" w:customStyle="1" w:styleId="254">
    <w:name w:val="批注主题 字符"/>
    <w:uiPriority w:val="0"/>
    <w:rPr>
      <w:rFonts w:eastAsia="宋体"/>
      <w:b/>
      <w:bCs/>
      <w:color w:val="000000"/>
    </w:rPr>
  </w:style>
  <w:style w:type="character" w:customStyle="1" w:styleId="255">
    <w:name w:val="Char Char3"/>
    <w:uiPriority w:val="0"/>
    <w:rPr>
      <w:rFonts w:eastAsia="宋体"/>
      <w:color w:val="000000"/>
      <w:sz w:val="21"/>
      <w:lang w:val="en-US" w:eastAsia="zh-CN" w:bidi="ar-SA"/>
    </w:rPr>
  </w:style>
  <w:style w:type="character" w:customStyle="1" w:styleId="256">
    <w:name w:val="pl6"/>
    <w:uiPriority w:val="0"/>
    <w:rPr>
      <w:szCs w:val="21"/>
    </w:rPr>
  </w:style>
  <w:style w:type="character" w:customStyle="1" w:styleId="257">
    <w:name w:val="bds_more"/>
    <w:uiPriority w:val="0"/>
    <w:rPr>
      <w:szCs w:val="21"/>
    </w:rPr>
  </w:style>
  <w:style w:type="character" w:customStyle="1" w:styleId="258">
    <w:name w:val="纯文本 字符1"/>
    <w:uiPriority w:val="0"/>
    <w:rPr>
      <w:rFonts w:ascii="等线" w:hAnsi="Courier New" w:cs="Courier New"/>
      <w:color w:val="000000"/>
      <w:kern w:val="0"/>
      <w:szCs w:val="20"/>
    </w:rPr>
  </w:style>
  <w:style w:type="character" w:customStyle="1" w:styleId="259">
    <w:name w:val="s_bbx"/>
    <w:uiPriority w:val="0"/>
    <w:rPr>
      <w:szCs w:val="21"/>
      <w:bdr w:val="single" w:color="FF9000" w:sz="6" w:space="0"/>
      <w:shd w:val="clear" w:color="auto" w:fill="FFFAF0"/>
    </w:rPr>
  </w:style>
  <w:style w:type="character" w:customStyle="1" w:styleId="260">
    <w:name w:val="hover179"/>
    <w:uiPriority w:val="0"/>
    <w:rPr>
      <w:color w:val="D50D00"/>
      <w:szCs w:val="21"/>
    </w:rPr>
  </w:style>
  <w:style w:type="character" w:customStyle="1" w:styleId="261">
    <w:name w:val="now1"/>
    <w:uiPriority w:val="0"/>
    <w:rPr>
      <w:szCs w:val="21"/>
    </w:rPr>
  </w:style>
  <w:style w:type="character" w:customStyle="1" w:styleId="262">
    <w:name w:val="标题 2 字符"/>
    <w:uiPriority w:val="0"/>
    <w:rPr>
      <w:rFonts w:ascii="Times New Roman" w:hAnsi="Times New Roman" w:eastAsia="宋体" w:cs="Times New Roman"/>
      <w:kern w:val="0"/>
      <w:sz w:val="24"/>
      <w:szCs w:val="20"/>
    </w:rPr>
  </w:style>
  <w:style w:type="character" w:customStyle="1" w:styleId="263">
    <w:name w:val="Heading 3 Char"/>
    <w:uiPriority w:val="0"/>
    <w:rPr>
      <w:rFonts w:cs="Times New Roman"/>
      <w:b/>
      <w:bCs/>
      <w:color w:val="000000"/>
      <w:sz w:val="32"/>
      <w:szCs w:val="32"/>
      <w:lang w:val="en-US" w:eastAsia="zh-CN" w:bidi="ar-SA"/>
    </w:rPr>
  </w:style>
  <w:style w:type="character" w:customStyle="1" w:styleId="264">
    <w:name w:val="Char Char2"/>
    <w:uiPriority w:val="0"/>
    <w:rPr>
      <w:rFonts w:ascii="Arial"/>
      <w:vanish/>
      <w:kern w:val="2"/>
      <w:sz w:val="16"/>
      <w:szCs w:val="24"/>
      <w:lang w:bidi="ar-SA"/>
    </w:rPr>
  </w:style>
  <w:style w:type="character" w:customStyle="1" w:styleId="265">
    <w:name w:val="bds_more2"/>
    <w:uiPriority w:val="0"/>
    <w:rPr>
      <w:rFonts w:hint="eastAsia" w:ascii="宋体" w:hAnsi="宋体" w:eastAsia="宋体" w:cs="宋体"/>
      <w:szCs w:val="21"/>
    </w:rPr>
  </w:style>
  <w:style w:type="character" w:customStyle="1" w:styleId="266">
    <w:name w:val="next"/>
    <w:uiPriority w:val="0"/>
    <w:rPr>
      <w:szCs w:val="21"/>
    </w:rPr>
  </w:style>
  <w:style w:type="character" w:customStyle="1" w:styleId="267">
    <w:name w:val="Heading 6 Char"/>
    <w:uiPriority w:val="0"/>
    <w:rPr>
      <w:rFonts w:ascii="Cambria" w:hAnsi="Cambria" w:eastAsia="宋体" w:cs="Times New Roman"/>
      <w:b/>
      <w:sz w:val="24"/>
      <w:lang w:val="zh-CN" w:eastAsia="zh-CN"/>
    </w:rPr>
  </w:style>
  <w:style w:type="character" w:customStyle="1" w:styleId="268">
    <w:name w:val="layui-this"/>
    <w:uiPriority w:val="0"/>
    <w:rPr>
      <w:bdr w:val="single" w:color="EEEEEE" w:sz="6" w:space="0"/>
      <w:shd w:val="clear" w:color="auto" w:fill="FFFFFF"/>
    </w:rPr>
  </w:style>
  <w:style w:type="character" w:customStyle="1" w:styleId="269">
    <w:name w:val="closed"/>
    <w:uiPriority w:val="0"/>
    <w:rPr>
      <w:szCs w:val="21"/>
    </w:rPr>
  </w:style>
  <w:style w:type="character" w:customStyle="1" w:styleId="270">
    <w:name w:val="submit"/>
    <w:uiPriority w:val="0"/>
    <w:rPr>
      <w:szCs w:val="21"/>
    </w:rPr>
  </w:style>
  <w:style w:type="character" w:customStyle="1" w:styleId="271">
    <w:name w:val="style22"/>
    <w:uiPriority w:val="0"/>
    <w:rPr>
      <w:szCs w:val="21"/>
    </w:rPr>
  </w:style>
  <w:style w:type="character" w:customStyle="1" w:styleId="272">
    <w:name w:val="enable"/>
    <w:uiPriority w:val="0"/>
    <w:rPr>
      <w:szCs w:val="21"/>
    </w:rPr>
  </w:style>
  <w:style w:type="character" w:customStyle="1" w:styleId="273">
    <w:name w:val="Char Char19"/>
    <w:uiPriority w:val="0"/>
    <w:rPr>
      <w:rFonts w:ascii="Arial" w:hAnsi="Arial" w:eastAsia="黑体"/>
      <w:sz w:val="21"/>
      <w:szCs w:val="21"/>
      <w:lang w:val="en-US" w:eastAsia="zh-CN" w:bidi="ar-SA"/>
    </w:rPr>
  </w:style>
  <w:style w:type="character" w:customStyle="1" w:styleId="274">
    <w:name w:val="标题 2 Char"/>
    <w:uiPriority w:val="0"/>
    <w:rPr>
      <w:rFonts w:eastAsia="宋体"/>
      <w:sz w:val="24"/>
      <w:lang w:val="en-US" w:eastAsia="zh-CN" w:bidi="ar-SA"/>
    </w:rPr>
  </w:style>
  <w:style w:type="character" w:customStyle="1" w:styleId="275">
    <w:name w:val="font61"/>
    <w:uiPriority w:val="0"/>
    <w:rPr>
      <w:rFonts w:hint="eastAsia" w:ascii="宋体" w:hAnsi="宋体" w:eastAsia="宋体" w:cs="宋体"/>
      <w:color w:val="000000"/>
      <w:sz w:val="22"/>
      <w:szCs w:val="22"/>
      <w:u w:val="none"/>
    </w:rPr>
  </w:style>
  <w:style w:type="character" w:customStyle="1" w:styleId="276">
    <w:name w:val="navigation1"/>
    <w:uiPriority w:val="0"/>
    <w:rPr>
      <w:sz w:val="22"/>
      <w:szCs w:val="22"/>
    </w:rPr>
  </w:style>
  <w:style w:type="character" w:customStyle="1" w:styleId="277">
    <w:name w:val="标题 Char1"/>
    <w:qFormat/>
    <w:uiPriority w:val="0"/>
    <w:rPr>
      <w:rFonts w:ascii="Cambria" w:hAnsi="Cambria" w:cs="Times New Roman"/>
      <w:b/>
      <w:bCs/>
      <w:kern w:val="2"/>
      <w:sz w:val="32"/>
      <w:szCs w:val="32"/>
    </w:rPr>
  </w:style>
  <w:style w:type="character" w:customStyle="1" w:styleId="278">
    <w:name w:val="fontstyle01"/>
    <w:qFormat/>
    <w:uiPriority w:val="0"/>
    <w:rPr>
      <w:rFonts w:hint="eastAsia" w:ascii="仿宋" w:hAnsi="仿宋" w:eastAsia="仿宋"/>
      <w:color w:val="000000"/>
      <w:sz w:val="22"/>
      <w:szCs w:val="22"/>
    </w:rPr>
  </w:style>
  <w:style w:type="character" w:customStyle="1" w:styleId="279">
    <w:name w:val="hover2"/>
    <w:basedOn w:val="41"/>
    <w:qFormat/>
    <w:uiPriority w:val="0"/>
    <w:rPr>
      <w:color w:val="2590EB"/>
    </w:rPr>
  </w:style>
  <w:style w:type="character" w:customStyle="1" w:styleId="280">
    <w:name w:val="Char Char21"/>
    <w:qFormat/>
    <w:uiPriority w:val="0"/>
    <w:rPr>
      <w:rFonts w:ascii="Calibri" w:hAnsi="Calibri" w:eastAsia="宋体"/>
      <w:b/>
      <w:bCs/>
      <w:sz w:val="24"/>
      <w:szCs w:val="24"/>
      <w:lang w:val="en-US" w:eastAsia="zh-CN" w:bidi="ar-SA"/>
    </w:rPr>
  </w:style>
  <w:style w:type="character" w:customStyle="1" w:styleId="281">
    <w:name w:val="正文不加 字符"/>
    <w:link w:val="282"/>
    <w:qFormat/>
    <w:uiPriority w:val="0"/>
    <w:rPr>
      <w:rFonts w:ascii="宋体"/>
      <w:color w:val="000000"/>
      <w:kern w:val="2"/>
      <w:sz w:val="21"/>
      <w:lang w:bidi="ar-SA"/>
    </w:rPr>
  </w:style>
  <w:style w:type="paragraph" w:customStyle="1" w:styleId="282">
    <w:name w:val="正文不加"/>
    <w:basedOn w:val="1"/>
    <w:link w:val="281"/>
    <w:qFormat/>
    <w:uiPriority w:val="0"/>
    <w:pPr>
      <w:widowControl w:val="0"/>
      <w:snapToGrid w:val="0"/>
      <w:spacing w:line="360" w:lineRule="auto"/>
      <w:ind w:firstLine="200" w:firstLineChars="200"/>
      <w:textAlignment w:val="auto"/>
    </w:pPr>
    <w:rPr>
      <w:rFonts w:ascii="宋体"/>
      <w:kern w:val="2"/>
    </w:rPr>
  </w:style>
  <w:style w:type="paragraph" w:customStyle="1" w:styleId="283">
    <w:name w:val="Char Char Char Char"/>
    <w:basedOn w:val="1"/>
    <w:qFormat/>
    <w:uiPriority w:val="0"/>
    <w:pPr>
      <w:widowControl w:val="0"/>
      <w:spacing w:line="240" w:lineRule="auto"/>
      <w:textAlignment w:val="auto"/>
    </w:pPr>
    <w:rPr>
      <w:rFonts w:ascii="Tahoma" w:hAnsi="Tahoma"/>
      <w:color w:val="auto"/>
      <w:kern w:val="2"/>
      <w:sz w:val="24"/>
    </w:rPr>
  </w:style>
  <w:style w:type="paragraph" w:customStyle="1" w:styleId="284">
    <w:name w:val="D&amp;L"/>
    <w:basedOn w:val="28"/>
    <w:qFormat/>
    <w:uiPriority w:val="0"/>
    <w:pPr>
      <w:widowControl w:val="0"/>
      <w:pBdr>
        <w:bottom w:val="thinThickSmallGap" w:color="auto" w:sz="18" w:space="1"/>
      </w:pBdr>
      <w:adjustRightInd w:val="0"/>
      <w:snapToGrid/>
    </w:pPr>
    <w:rPr>
      <w:rFonts w:ascii="Calibri" w:hAnsi="Calibri"/>
      <w:color w:val="auto"/>
      <w:sz w:val="24"/>
      <w:szCs w:val="20"/>
    </w:rPr>
  </w:style>
  <w:style w:type="paragraph" w:customStyle="1" w:styleId="285">
    <w:name w:val="List Paragraph1"/>
    <w:basedOn w:val="1"/>
    <w:qFormat/>
    <w:uiPriority w:val="0"/>
    <w:pPr>
      <w:widowControl w:val="0"/>
      <w:spacing w:line="312" w:lineRule="auto"/>
      <w:ind w:firstLine="420" w:firstLineChars="200"/>
      <w:textAlignment w:val="auto"/>
    </w:pPr>
    <w:rPr>
      <w:color w:val="auto"/>
      <w:sz w:val="20"/>
    </w:rPr>
  </w:style>
  <w:style w:type="paragraph" w:customStyle="1" w:styleId="286">
    <w:name w:val="列出段落1"/>
    <w:basedOn w:val="1"/>
    <w:qFormat/>
    <w:uiPriority w:val="0"/>
    <w:pPr>
      <w:widowControl w:val="0"/>
      <w:spacing w:line="240" w:lineRule="auto"/>
      <w:ind w:firstLine="420" w:firstLineChars="200"/>
      <w:textAlignment w:val="auto"/>
    </w:pPr>
    <w:rPr>
      <w:rFonts w:ascii="Calibri" w:hAnsi="Calibri"/>
      <w:color w:val="auto"/>
      <w:kern w:val="2"/>
      <w:szCs w:val="22"/>
    </w:rPr>
  </w:style>
  <w:style w:type="paragraph" w:customStyle="1" w:styleId="287">
    <w:name w:val="列表2"/>
    <w:basedOn w:val="1"/>
    <w:next w:val="1"/>
    <w:qFormat/>
    <w:uiPriority w:val="0"/>
    <w:pPr>
      <w:widowControl w:val="0"/>
      <w:tabs>
        <w:tab w:val="left" w:pos="425"/>
      </w:tabs>
      <w:spacing w:line="200" w:lineRule="atLeast"/>
      <w:ind w:left="425" w:hanging="425"/>
      <w:textAlignment w:val="auto"/>
    </w:pPr>
    <w:rPr>
      <w:rFonts w:eastAsia="仿宋"/>
      <w:color w:val="auto"/>
      <w:kern w:val="2"/>
      <w:sz w:val="28"/>
      <w:szCs w:val="24"/>
    </w:rPr>
  </w:style>
  <w:style w:type="paragraph" w:customStyle="1" w:styleId="288">
    <w:name w:val="样式1"/>
    <w:basedOn w:val="1"/>
    <w:qFormat/>
    <w:uiPriority w:val="0"/>
    <w:pPr>
      <w:widowControl w:val="0"/>
      <w:spacing w:line="240" w:lineRule="auto"/>
      <w:textAlignment w:val="auto"/>
    </w:pPr>
    <w:rPr>
      <w:rFonts w:ascii="Arial" w:hAnsi="Arial" w:eastAsia="仿宋_GB2312"/>
      <w:color w:val="auto"/>
      <w:kern w:val="2"/>
      <w:sz w:val="32"/>
    </w:rPr>
  </w:style>
  <w:style w:type="paragraph" w:customStyle="1" w:styleId="289">
    <w:name w:val="文档正文"/>
    <w:basedOn w:val="1"/>
    <w:qFormat/>
    <w:uiPriority w:val="0"/>
    <w:pPr>
      <w:widowControl w:val="0"/>
      <w:adjustRightInd w:val="0"/>
      <w:spacing w:line="312" w:lineRule="atLeast"/>
      <w:ind w:firstLine="567"/>
      <w:textAlignment w:val="auto"/>
    </w:pPr>
    <w:rPr>
      <w:rFonts w:ascii="Arial" w:eastAsia="长城仿宋"/>
      <w:color w:val="auto"/>
      <w:sz w:val="28"/>
    </w:rPr>
  </w:style>
  <w:style w:type="paragraph" w:customStyle="1" w:styleId="290">
    <w:name w:val="TOC Heading"/>
    <w:basedOn w:val="2"/>
    <w:next w:val="1"/>
    <w:qFormat/>
    <w:uiPriority w:val="0"/>
    <w:pPr>
      <w:keepLines/>
      <w:tabs>
        <w:tab w:val="clear" w:pos="432"/>
      </w:tabs>
      <w:spacing w:before="240" w:line="259" w:lineRule="auto"/>
      <w:jc w:val="left"/>
      <w:outlineLvl w:val="9"/>
    </w:pPr>
    <w:rPr>
      <w:rFonts w:ascii="Cambria" w:hAnsi="Cambria" w:eastAsia="宋体"/>
      <w:color w:val="365F91"/>
      <w:szCs w:val="32"/>
    </w:rPr>
  </w:style>
  <w:style w:type="paragraph" w:customStyle="1" w:styleId="291">
    <w:name w:val="图表题注"/>
    <w:basedOn w:val="14"/>
    <w:next w:val="13"/>
    <w:qFormat/>
    <w:uiPriority w:val="0"/>
    <w:pPr>
      <w:spacing w:before="152" w:after="160"/>
      <w:jc w:val="center"/>
    </w:pPr>
    <w:rPr>
      <w:rFonts w:ascii="Times New Roman" w:hAnsi="Times New Roman" w:eastAsia="宋体"/>
      <w:sz w:val="21"/>
    </w:rPr>
  </w:style>
  <w:style w:type="paragraph" w:customStyle="1" w:styleId="292">
    <w:name w:val="缺省文本"/>
    <w:basedOn w:val="1"/>
    <w:qFormat/>
    <w:uiPriority w:val="0"/>
    <w:pPr>
      <w:widowControl w:val="0"/>
      <w:autoSpaceDE w:val="0"/>
      <w:autoSpaceDN w:val="0"/>
      <w:adjustRightInd w:val="0"/>
      <w:spacing w:line="240" w:lineRule="auto"/>
      <w:jc w:val="left"/>
      <w:textAlignment w:val="auto"/>
    </w:pPr>
    <w:rPr>
      <w:color w:val="auto"/>
      <w:sz w:val="24"/>
    </w:rPr>
  </w:style>
  <w:style w:type="paragraph" w:customStyle="1" w:styleId="293">
    <w:name w:val="1 Char Char Char Char"/>
    <w:basedOn w:val="1"/>
    <w:qFormat/>
    <w:uiPriority w:val="0"/>
    <w:pPr>
      <w:widowControl w:val="0"/>
      <w:spacing w:after="160" w:line="240" w:lineRule="exact"/>
      <w:textAlignment w:val="auto"/>
    </w:pPr>
    <w:rPr>
      <w:color w:val="auto"/>
      <w:kern w:val="2"/>
      <w:szCs w:val="24"/>
    </w:rPr>
  </w:style>
  <w:style w:type="paragraph" w:customStyle="1" w:styleId="294">
    <w:name w:val="Char"/>
    <w:basedOn w:val="1"/>
    <w:qFormat/>
    <w:uiPriority w:val="0"/>
    <w:pPr>
      <w:widowControl w:val="0"/>
      <w:spacing w:line="240" w:lineRule="auto"/>
      <w:textAlignment w:val="auto"/>
    </w:pPr>
    <w:rPr>
      <w:rFonts w:ascii="仿宋_GB2312" w:eastAsia="仿宋_GB2312"/>
      <w:b/>
      <w:color w:val="auto"/>
      <w:kern w:val="2"/>
      <w:sz w:val="32"/>
      <w:szCs w:val="32"/>
    </w:rPr>
  </w:style>
  <w:style w:type="paragraph" w:customStyle="1" w:styleId="295">
    <w:name w:val="flName"/>
    <w:basedOn w:val="1"/>
    <w:qFormat/>
    <w:uiPriority w:val="0"/>
    <w:pPr>
      <w:widowControl w:val="0"/>
      <w:adjustRightInd w:val="0"/>
      <w:spacing w:before="320" w:after="160" w:line="360" w:lineRule="atLeast"/>
      <w:jc w:val="center"/>
    </w:pPr>
    <w:rPr>
      <w:rFonts w:ascii="Arial" w:eastAsia="黑体"/>
      <w:color w:val="auto"/>
      <w:sz w:val="32"/>
    </w:rPr>
  </w:style>
  <w:style w:type="paragraph" w:customStyle="1" w:styleId="296">
    <w:name w:val="正文首行缩进 21"/>
    <w:basedOn w:val="297"/>
    <w:qFormat/>
    <w:uiPriority w:val="0"/>
    <w:pPr>
      <w:ind w:firstLine="420" w:firstLineChars="200"/>
    </w:pPr>
  </w:style>
  <w:style w:type="paragraph" w:customStyle="1" w:styleId="297">
    <w:name w:val="正文文本缩进1"/>
    <w:basedOn w:val="1"/>
    <w:qFormat/>
    <w:uiPriority w:val="0"/>
    <w:pPr>
      <w:spacing w:after="120"/>
      <w:ind w:left="420" w:leftChars="200"/>
    </w:pPr>
    <w:rPr>
      <w:u w:color="000000"/>
    </w:rPr>
  </w:style>
  <w:style w:type="paragraph" w:customStyle="1" w:styleId="298">
    <w:name w:val="ullist1"/>
    <w:basedOn w:val="31"/>
    <w:qFormat/>
    <w:uiPriority w:val="0"/>
    <w:pPr>
      <w:spacing w:before="90" w:after="90"/>
      <w:ind w:left="1290"/>
    </w:pPr>
    <w:rPr>
      <w:sz w:val="24"/>
    </w:rPr>
  </w:style>
  <w:style w:type="paragraph" w:customStyle="1" w:styleId="299">
    <w:name w:val="列出段落11"/>
    <w:basedOn w:val="1"/>
    <w:qFormat/>
    <w:uiPriority w:val="0"/>
    <w:pPr>
      <w:widowControl w:val="0"/>
      <w:spacing w:after="120" w:line="360" w:lineRule="auto"/>
      <w:ind w:firstLine="420" w:firstLineChars="200"/>
      <w:textAlignment w:val="auto"/>
    </w:pPr>
    <w:rPr>
      <w:color w:val="auto"/>
      <w:kern w:val="2"/>
      <w:szCs w:val="22"/>
    </w:rPr>
  </w:style>
  <w:style w:type="paragraph" w:customStyle="1" w:styleId="300">
    <w:name w:val="默认段落字体 Para Char"/>
    <w:basedOn w:val="1"/>
    <w:qFormat/>
    <w:uiPriority w:val="0"/>
    <w:pPr>
      <w:widowControl w:val="0"/>
      <w:spacing w:line="240" w:lineRule="auto"/>
      <w:textAlignment w:val="auto"/>
    </w:pPr>
    <w:rPr>
      <w:color w:val="auto"/>
      <w:kern w:val="2"/>
      <w:szCs w:val="24"/>
    </w:rPr>
  </w:style>
  <w:style w:type="paragraph" w:customStyle="1" w:styleId="301">
    <w:name w:val="_Style 2"/>
    <w:basedOn w:val="1"/>
    <w:qFormat/>
    <w:uiPriority w:val="0"/>
    <w:pPr>
      <w:ind w:firstLine="420" w:firstLineChars="200"/>
    </w:pPr>
  </w:style>
  <w:style w:type="paragraph" w:customStyle="1" w:styleId="302">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303">
    <w:name w:val="正文文字2"/>
    <w:basedOn w:val="18"/>
    <w:qFormat/>
    <w:uiPriority w:val="0"/>
    <w:pPr>
      <w:adjustRightInd w:val="0"/>
      <w:snapToGrid/>
      <w:spacing w:after="60" w:line="360" w:lineRule="atLeast"/>
      <w:ind w:left="72" w:leftChars="30" w:right="72" w:rightChars="30"/>
      <w:jc w:val="center"/>
    </w:pPr>
    <w:rPr>
      <w:rFonts w:hAnsi="Times New Roman" w:eastAsia="黑体"/>
      <w:color w:val="auto"/>
      <w:sz w:val="21"/>
    </w:rPr>
  </w:style>
  <w:style w:type="paragraph" w:customStyle="1" w:styleId="304">
    <w:name w:val="_Style 3"/>
    <w:basedOn w:val="1"/>
    <w:qFormat/>
    <w:uiPriority w:val="0"/>
    <w:pPr>
      <w:ind w:firstLine="420" w:firstLineChars="200"/>
    </w:pPr>
    <w:rPr>
      <w:rFonts w:ascii="Calibri" w:hAnsi="Calibri"/>
      <w:szCs w:val="22"/>
    </w:rPr>
  </w:style>
  <w:style w:type="paragraph" w:customStyle="1" w:styleId="305">
    <w:name w:val="Char Char Char Char1"/>
    <w:basedOn w:val="1"/>
    <w:qFormat/>
    <w:uiPriority w:val="0"/>
    <w:pPr>
      <w:widowControl w:val="0"/>
      <w:spacing w:line="240" w:lineRule="auto"/>
      <w:textAlignment w:val="auto"/>
    </w:pPr>
    <w:rPr>
      <w:rFonts w:ascii="Tahoma" w:hAnsi="Tahoma"/>
      <w:color w:val="auto"/>
      <w:kern w:val="2"/>
      <w:sz w:val="24"/>
    </w:rPr>
  </w:style>
  <w:style w:type="paragraph" w:customStyle="1" w:styleId="306">
    <w:name w:val="字元 字元 字元 字元 字元"/>
    <w:basedOn w:val="1"/>
    <w:qFormat/>
    <w:uiPriority w:val="0"/>
    <w:pPr>
      <w:widowControl w:val="0"/>
      <w:spacing w:line="240" w:lineRule="auto"/>
      <w:textAlignment w:val="auto"/>
    </w:pPr>
    <w:rPr>
      <w:color w:val="auto"/>
      <w:kern w:val="2"/>
    </w:rPr>
  </w:style>
  <w:style w:type="paragraph" w:customStyle="1" w:styleId="307">
    <w:name w:val="Char Char Char Char Char Char"/>
    <w:basedOn w:val="1"/>
    <w:qFormat/>
    <w:uiPriority w:val="0"/>
    <w:pPr>
      <w:widowControl w:val="0"/>
      <w:spacing w:line="240" w:lineRule="auto"/>
      <w:textAlignment w:val="auto"/>
    </w:pPr>
    <w:rPr>
      <w:color w:val="auto"/>
      <w:kern w:val="2"/>
      <w:szCs w:val="21"/>
    </w:rPr>
  </w:style>
  <w:style w:type="paragraph" w:customStyle="1" w:styleId="308">
    <w:name w:val="Char Char Char Char Char Char Char1 Char"/>
    <w:basedOn w:val="1"/>
    <w:qFormat/>
    <w:uiPriority w:val="0"/>
    <w:pPr>
      <w:widowControl w:val="0"/>
      <w:spacing w:line="240" w:lineRule="auto"/>
      <w:textAlignment w:val="auto"/>
    </w:pPr>
    <w:rPr>
      <w:rFonts w:ascii="Tahoma" w:hAnsi="Tahoma"/>
      <w:color w:val="auto"/>
      <w:kern w:val="2"/>
      <w:sz w:val="24"/>
    </w:rPr>
  </w:style>
  <w:style w:type="paragraph" w:customStyle="1" w:styleId="309">
    <w:name w:val="Char Char Char Char Char Char1"/>
    <w:basedOn w:val="1"/>
    <w:qFormat/>
    <w:uiPriority w:val="0"/>
    <w:pPr>
      <w:widowControl w:val="0"/>
      <w:spacing w:line="240" w:lineRule="auto"/>
      <w:textAlignment w:val="auto"/>
    </w:pPr>
    <w:rPr>
      <w:color w:val="auto"/>
      <w:kern w:val="2"/>
      <w:szCs w:val="21"/>
    </w:rPr>
  </w:style>
  <w:style w:type="paragraph" w:customStyle="1" w:styleId="310">
    <w:name w:val="UserStyle_18"/>
    <w:basedOn w:val="1"/>
    <w:qFormat/>
    <w:uiPriority w:val="0"/>
    <w:pPr>
      <w:snapToGrid w:val="0"/>
      <w:ind w:firstLine="560"/>
      <w:jc w:val="left"/>
    </w:pPr>
    <w:rPr>
      <w:rFonts w:ascii="仿宋_GB2312"/>
      <w:color w:val="191919"/>
      <w:kern w:val="2"/>
      <w:sz w:val="28"/>
      <w:szCs w:val="28"/>
    </w:rPr>
  </w:style>
  <w:style w:type="paragraph" w:customStyle="1" w:styleId="311">
    <w:name w:val="正文文字 8"/>
    <w:basedOn w:val="1"/>
    <w:next w:val="1"/>
    <w:qFormat/>
    <w:uiPriority w:val="0"/>
    <w:pPr>
      <w:ind w:left="240"/>
    </w:pPr>
    <w:rPr>
      <w:sz w:val="16"/>
    </w:rPr>
  </w:style>
  <w:style w:type="paragraph" w:customStyle="1" w:styleId="312">
    <w:name w:val="列表段落1"/>
    <w:basedOn w:val="1"/>
    <w:qFormat/>
    <w:uiPriority w:val="0"/>
    <w:pPr>
      <w:widowControl w:val="0"/>
      <w:spacing w:line="360" w:lineRule="auto"/>
      <w:ind w:firstLine="420"/>
      <w:textAlignment w:val="auto"/>
    </w:pPr>
    <w:rPr>
      <w:kern w:val="2"/>
      <w:sz w:val="24"/>
      <w:szCs w:val="21"/>
    </w:rPr>
  </w:style>
  <w:style w:type="paragraph" w:customStyle="1" w:styleId="313">
    <w:name w:val="*正文"/>
    <w:basedOn w:val="1"/>
    <w:qFormat/>
    <w:uiPriority w:val="0"/>
    <w:pPr>
      <w:snapToGrid w:val="0"/>
      <w:ind w:firstLine="560"/>
      <w:jc w:val="left"/>
    </w:pPr>
    <w:rPr>
      <w:rFonts w:ascii="仿宋_GB2312"/>
      <w:color w:val="191919"/>
      <w:sz w:val="28"/>
      <w:szCs w:val="28"/>
    </w:rPr>
  </w:style>
  <w:style w:type="paragraph" w:customStyle="1" w:styleId="314">
    <w:name w:val="style160"/>
    <w:basedOn w:val="1"/>
    <w:qFormat/>
    <w:uiPriority w:val="0"/>
    <w:pPr>
      <w:spacing w:before="100" w:beforeAutospacing="1" w:after="100" w:afterAutospacing="1" w:line="240" w:lineRule="auto"/>
      <w:jc w:val="left"/>
    </w:pPr>
    <w:rPr>
      <w:rFonts w:ascii="宋体" w:hAnsi="宋体" w:cs="宋体"/>
      <w:szCs w:val="24"/>
    </w:rPr>
  </w:style>
  <w:style w:type="paragraph" w:customStyle="1" w:styleId="315">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16">
    <w:name w:val="正文文字1"/>
    <w:basedOn w:val="18"/>
    <w:qFormat/>
    <w:uiPriority w:val="0"/>
    <w:pPr>
      <w:adjustRightInd w:val="0"/>
      <w:snapToGrid/>
      <w:spacing w:line="360" w:lineRule="atLeast"/>
      <w:ind w:left="72" w:leftChars="30" w:right="72" w:rightChars="30"/>
    </w:pPr>
    <w:rPr>
      <w:rFonts w:ascii="Times New Roman" w:hAnsi="Times New Roman" w:eastAsia="宋体"/>
      <w:color w:val="auto"/>
      <w:sz w:val="21"/>
    </w:rPr>
  </w:style>
  <w:style w:type="paragraph" w:customStyle="1" w:styleId="317">
    <w:name w:val="PlainText"/>
    <w:basedOn w:val="1"/>
    <w:next w:val="1"/>
    <w:qFormat/>
    <w:uiPriority w:val="0"/>
    <w:rPr>
      <w:rFonts w:ascii="宋体"/>
      <w:kern w:val="2"/>
    </w:rPr>
  </w:style>
  <w:style w:type="paragraph" w:customStyle="1" w:styleId="318">
    <w:name w:val="标题4"/>
    <w:basedOn w:val="1"/>
    <w:qFormat/>
    <w:uiPriority w:val="0"/>
    <w:pPr>
      <w:widowControl w:val="0"/>
      <w:spacing w:line="360" w:lineRule="auto"/>
      <w:ind w:left="720" w:leftChars="300" w:hanging="420"/>
      <w:jc w:val="left"/>
      <w:textAlignment w:val="auto"/>
    </w:pPr>
    <w:rPr>
      <w:rFonts w:ascii="宋体" w:hAnsi="宋体"/>
      <w:color w:val="auto"/>
      <w:kern w:val="2"/>
      <w:sz w:val="18"/>
      <w:szCs w:val="18"/>
    </w:rPr>
  </w:style>
  <w:style w:type="paragraph" w:customStyle="1" w:styleId="319">
    <w:name w:val="（无样式）"/>
    <w:basedOn w:val="1"/>
    <w:qFormat/>
    <w:uiPriority w:val="0"/>
    <w:pPr>
      <w:spacing w:line="360" w:lineRule="auto"/>
      <w:ind w:left="425"/>
      <w:textAlignment w:val="auto"/>
    </w:pPr>
    <w:rPr>
      <w:color w:val="auto"/>
      <w:kern w:val="2"/>
      <w:sz w:val="24"/>
    </w:rPr>
  </w:style>
  <w:style w:type="paragraph" w:customStyle="1" w:styleId="320">
    <w:name w:val="标准文本"/>
    <w:basedOn w:val="1"/>
    <w:qFormat/>
    <w:uiPriority w:val="0"/>
    <w:pPr>
      <w:ind w:firstLine="480"/>
    </w:pPr>
    <w:rPr>
      <w:rFonts w:cs="宋体"/>
    </w:rPr>
  </w:style>
  <w:style w:type="paragraph" w:customStyle="1" w:styleId="321">
    <w:name w:val="纯文本1"/>
    <w:basedOn w:val="1"/>
    <w:qFormat/>
    <w:uiPriority w:val="0"/>
    <w:pPr>
      <w:adjustRightInd w:val="0"/>
    </w:pPr>
    <w:rPr>
      <w:rFonts w:ascii="宋体" w:hAnsi="Courier New" w:eastAsia="楷体_GB2312"/>
      <w:sz w:val="28"/>
    </w:rPr>
  </w:style>
  <w:style w:type="paragraph" w:customStyle="1" w:styleId="322">
    <w:name w:val="_Style 5"/>
    <w:basedOn w:val="1"/>
    <w:qFormat/>
    <w:uiPriority w:val="0"/>
    <w:pPr>
      <w:ind w:firstLine="420" w:firstLineChars="200"/>
    </w:pPr>
    <w:rPr>
      <w:rFonts w:ascii="Calibri" w:hAnsi="Calibri"/>
      <w:szCs w:val="22"/>
    </w:rPr>
  </w:style>
  <w:style w:type="paragraph" w:customStyle="1" w:styleId="323">
    <w:name w:val="_Style 4"/>
    <w:basedOn w:val="1"/>
    <w:qFormat/>
    <w:uiPriority w:val="0"/>
    <w:pPr>
      <w:widowControl w:val="0"/>
      <w:adjustRightInd w:val="0"/>
      <w:spacing w:line="240" w:lineRule="auto"/>
      <w:ind w:firstLine="420" w:firstLineChars="200"/>
      <w:jc w:val="left"/>
    </w:pPr>
    <w:rPr>
      <w:color w:val="auto"/>
    </w:rPr>
  </w:style>
  <w:style w:type="paragraph" w:customStyle="1" w:styleId="324">
    <w:name w:val="列出段落2"/>
    <w:basedOn w:val="1"/>
    <w:qFormat/>
    <w:uiPriority w:val="0"/>
    <w:pPr>
      <w:ind w:firstLine="420" w:firstLineChars="200"/>
    </w:pPr>
  </w:style>
  <w:style w:type="paragraph" w:customStyle="1" w:styleId="325">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26">
    <w:name w:val="列出段落12"/>
    <w:basedOn w:val="1"/>
    <w:qFormat/>
    <w:uiPriority w:val="0"/>
    <w:pPr>
      <w:ind w:firstLine="420" w:firstLineChars="200"/>
    </w:pPr>
  </w:style>
  <w:style w:type="paragraph" w:customStyle="1" w:styleId="327">
    <w:name w:val="Table Paragraph"/>
    <w:basedOn w:val="1"/>
    <w:qFormat/>
    <w:uiPriority w:val="0"/>
  </w:style>
  <w:style w:type="paragraph" w:customStyle="1" w:styleId="328">
    <w:name w:val="标题3-副本"/>
    <w:basedOn w:val="30"/>
    <w:qFormat/>
    <w:uiPriority w:val="0"/>
    <w:pPr>
      <w:ind w:left="840"/>
    </w:pPr>
  </w:style>
  <w:style w:type="paragraph" w:customStyle="1" w:styleId="329">
    <w:name w:val="p0 New"/>
    <w:basedOn w:val="1"/>
    <w:qFormat/>
    <w:uiPriority w:val="0"/>
    <w:pPr>
      <w:spacing w:line="240" w:lineRule="auto"/>
      <w:jc w:val="left"/>
      <w:textAlignment w:val="auto"/>
    </w:pPr>
    <w:rPr>
      <w:rFonts w:ascii="宋体" w:hAnsi="宋体" w:cs="宋体"/>
      <w:color w:val="auto"/>
      <w:sz w:val="18"/>
      <w:szCs w:val="18"/>
    </w:rPr>
  </w:style>
  <w:style w:type="paragraph" w:customStyle="1" w:styleId="330">
    <w:name w:val="节标题"/>
    <w:basedOn w:val="1"/>
    <w:next w:val="1"/>
    <w:qFormat/>
    <w:uiPriority w:val="0"/>
    <w:pPr>
      <w:spacing w:line="289" w:lineRule="atLeast"/>
      <w:jc w:val="center"/>
    </w:pPr>
    <w:rPr>
      <w:sz w:val="28"/>
    </w:rPr>
  </w:style>
  <w:style w:type="paragraph" w:customStyle="1" w:styleId="331">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2">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333">
    <w:name w:val="UserStyle_29"/>
    <w:qFormat/>
    <w:uiPriority w:val="0"/>
    <w:pPr>
      <w:spacing w:line="440" w:lineRule="exact"/>
      <w:ind w:left="357" w:hanging="357"/>
      <w:jc w:val="both"/>
      <w:textAlignment w:val="baseline"/>
    </w:pPr>
    <w:rPr>
      <w:rFonts w:ascii="Times New Roman" w:hAnsi="Times New Roman" w:eastAsia="宋体" w:cs="Times New Roman"/>
      <w:kern w:val="2"/>
      <w:sz w:val="21"/>
      <w:szCs w:val="22"/>
      <w:lang w:val="en-US" w:eastAsia="zh-CN" w:bidi="ar-SA"/>
    </w:rPr>
  </w:style>
  <w:style w:type="paragraph" w:customStyle="1" w:styleId="334">
    <w:name w:val="style1"/>
    <w:basedOn w:val="1"/>
    <w:qFormat/>
    <w:uiPriority w:val="0"/>
    <w:pPr>
      <w:spacing w:before="100" w:beforeAutospacing="1" w:after="100" w:afterAutospacing="1" w:line="240" w:lineRule="auto"/>
      <w:jc w:val="left"/>
      <w:textAlignment w:val="auto"/>
    </w:pPr>
    <w:rPr>
      <w:rFonts w:ascii="Times" w:hAnsi="Times"/>
      <w:color w:val="auto"/>
      <w:sz w:val="20"/>
    </w:rPr>
  </w:style>
  <w:style w:type="paragraph" w:customStyle="1" w:styleId="335">
    <w:name w:val="BodyTextIndent"/>
    <w:basedOn w:val="1"/>
    <w:next w:val="336"/>
    <w:qFormat/>
    <w:uiPriority w:val="0"/>
    <w:pPr>
      <w:spacing w:after="120"/>
      <w:ind w:left="200" w:leftChars="200"/>
    </w:pPr>
  </w:style>
  <w:style w:type="paragraph" w:customStyle="1" w:styleId="336">
    <w:name w:val="EnvelopeReturn"/>
    <w:basedOn w:val="1"/>
    <w:qFormat/>
    <w:uiPriority w:val="0"/>
    <w:pPr>
      <w:snapToGrid w:val="0"/>
    </w:pPr>
    <w:rPr>
      <w:rFonts w:ascii="Arial" w:hAnsi="Arial"/>
      <w:kern w:val="2"/>
      <w:szCs w:val="24"/>
    </w:rPr>
  </w:style>
  <w:style w:type="paragraph" w:customStyle="1" w:styleId="337">
    <w:name w:val="Default Paragraph Font Para Char"/>
    <w:basedOn w:val="1"/>
    <w:qFormat/>
    <w:uiPriority w:val="0"/>
    <w:pPr>
      <w:spacing w:after="160" w:line="240" w:lineRule="exact"/>
      <w:jc w:val="left"/>
      <w:textAlignment w:val="auto"/>
    </w:pPr>
    <w:rPr>
      <w:rFonts w:ascii="Verdana" w:hAnsi="Verdana"/>
      <w:color w:val="auto"/>
      <w:sz w:val="20"/>
      <w:lang w:eastAsia="en-US"/>
    </w:rPr>
  </w:style>
  <w:style w:type="paragraph" w:customStyle="1" w:styleId="338">
    <w:name w:val="p"/>
    <w:basedOn w:val="1"/>
    <w:qFormat/>
    <w:uiPriority w:val="0"/>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339">
    <w:name w:val="text-tag1"/>
    <w:basedOn w:val="1"/>
    <w:qFormat/>
    <w:uiPriority w:val="0"/>
    <w:pPr>
      <w:spacing w:before="100" w:beforeAutospacing="1" w:after="100" w:afterAutospacing="1"/>
      <w:jc w:val="left"/>
    </w:pPr>
    <w:rPr>
      <w:rFonts w:ascii="宋体" w:hAnsi="宋体" w:cs="宋体"/>
      <w:sz w:val="24"/>
    </w:rPr>
  </w:style>
  <w:style w:type="paragraph" w:customStyle="1" w:styleId="340">
    <w:name w:val="style4"/>
    <w:basedOn w:val="1"/>
    <w:next w:val="332"/>
    <w:qFormat/>
    <w:uiPriority w:val="0"/>
    <w:pPr>
      <w:spacing w:before="280" w:after="280"/>
    </w:pPr>
    <w:rPr>
      <w:rFonts w:ascii="宋体"/>
      <w:sz w:val="18"/>
    </w:rPr>
  </w:style>
  <w:style w:type="paragraph" w:customStyle="1" w:styleId="341">
    <w:name w:val="HtmlNormal"/>
    <w:basedOn w:val="1"/>
    <w:next w:val="1"/>
    <w:qFormat/>
    <w:uiPriority w:val="0"/>
    <w:pPr>
      <w:spacing w:before="100" w:beforeAutospacing="1" w:after="100" w:afterAutospacing="1"/>
      <w:jc w:val="left"/>
    </w:pPr>
    <w:rPr>
      <w:rFonts w:ascii="宋体" w:hAnsi="宋体"/>
      <w:sz w:val="24"/>
      <w:szCs w:val="24"/>
    </w:rPr>
  </w:style>
  <w:style w:type="paragraph" w:customStyle="1" w:styleId="342">
    <w:name w:val="样式 正文（缩进） + (中文) 楷体_GB2312"/>
    <w:basedOn w:val="215"/>
    <w:qFormat/>
    <w:uiPriority w:val="0"/>
    <w:pPr>
      <w:ind w:left="1" w:leftChars="-1" w:hanging="3" w:hangingChars="1"/>
      <w:jc w:val="center"/>
    </w:pPr>
    <w:rPr>
      <w:rFonts w:ascii="宋体" w:hAnsi="宋体"/>
      <w:b/>
      <w:bCs/>
      <w:sz w:val="28"/>
      <w:szCs w:val="28"/>
    </w:rPr>
  </w:style>
  <w:style w:type="paragraph" w:customStyle="1" w:styleId="343">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44">
    <w:name w:val="Biao00"/>
    <w:qFormat/>
    <w:uiPriority w:val="0"/>
    <w:pPr>
      <w:widowControl w:val="0"/>
      <w:spacing w:line="0" w:lineRule="atLeast"/>
      <w:jc w:val="center"/>
    </w:pPr>
    <w:rPr>
      <w:rFonts w:ascii="Arial" w:hAnsi="Arial" w:eastAsia="仿宋_GB2312" w:cs="Times New Roman"/>
      <w:bCs/>
      <w:w w:val="90"/>
      <w:kern w:val="18"/>
      <w:sz w:val="24"/>
      <w:szCs w:val="24"/>
      <w:lang w:val="en-US" w:eastAsia="zh-CN" w:bidi="ar-SA"/>
    </w:rPr>
  </w:style>
  <w:style w:type="paragraph" w:customStyle="1" w:styleId="345">
    <w:name w:val="&quot;msonormal&quot;"/>
    <w:basedOn w:val="1"/>
    <w:qFormat/>
    <w:uiPriority w:val="0"/>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346">
    <w:name w:val="正文1"/>
    <w:basedOn w:val="1"/>
    <w:qFormat/>
    <w:uiPriority w:val="0"/>
    <w:pPr>
      <w:spacing w:line="360" w:lineRule="auto"/>
      <w:ind w:left="720" w:leftChars="100" w:right="100" w:rightChars="100" w:firstLine="200" w:firstLineChars="200"/>
    </w:pPr>
    <w:rPr>
      <w:rFonts w:ascii="Arial" w:hAnsi="Arial" w:cs="Arial"/>
      <w:color w:val="333333"/>
      <w:sz w:val="24"/>
      <w:szCs w:val="28"/>
      <w:shd w:val="clear" w:color="auto" w:fill="FFFFFF"/>
    </w:rPr>
  </w:style>
  <w:style w:type="paragraph" w:customStyle="1" w:styleId="347">
    <w:name w:val="BodyText1I2"/>
    <w:basedOn w:val="335"/>
    <w:next w:val="1"/>
    <w:qFormat/>
    <w:uiPriority w:val="0"/>
    <w:pPr>
      <w:spacing w:line="360" w:lineRule="auto"/>
      <w:ind w:firstLine="200" w:firstLineChars="200"/>
    </w:pPr>
    <w:rPr>
      <w:rFonts w:ascii="宋体"/>
    </w:rPr>
  </w:style>
  <w:style w:type="paragraph" w:customStyle="1" w:styleId="348">
    <w:name w:val="msonormal paragraphindent"/>
    <w:basedOn w:val="1"/>
    <w:qFormat/>
    <w:uiPriority w:val="0"/>
    <w:pPr>
      <w:spacing w:line="240" w:lineRule="auto"/>
      <w:jc w:val="left"/>
      <w:textAlignment w:val="auto"/>
    </w:pPr>
    <w:rPr>
      <w:rFonts w:ascii="宋体" w:hAnsi="宋体" w:cs="宋体"/>
      <w:color w:val="auto"/>
      <w:sz w:val="18"/>
      <w:szCs w:val="18"/>
    </w:rPr>
  </w:style>
  <w:style w:type="paragraph" w:customStyle="1" w:styleId="349">
    <w:name w:val="普通 (Web)"/>
    <w:basedOn w:val="1"/>
    <w:qFormat/>
    <w:uiPriority w:val="0"/>
    <w:pPr>
      <w:spacing w:before="100" w:beforeAutospacing="1" w:after="100" w:afterAutospacing="1" w:line="240" w:lineRule="auto"/>
      <w:jc w:val="left"/>
      <w:textAlignment w:val="auto"/>
    </w:pPr>
    <w:rPr>
      <w:rFonts w:ascii="宋体" w:hAnsi="宋体"/>
      <w:color w:val="auto"/>
      <w:sz w:val="24"/>
      <w:szCs w:val="24"/>
    </w:rPr>
  </w:style>
  <w:style w:type="paragraph" w:customStyle="1" w:styleId="350">
    <w:name w:val="reader-word-layer"/>
    <w:basedOn w:val="1"/>
    <w:qFormat/>
    <w:uiPriority w:val="0"/>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351">
    <w:name w:val="p0"/>
    <w:basedOn w:val="1"/>
    <w:qFormat/>
    <w:uiPriority w:val="0"/>
    <w:pPr>
      <w:spacing w:line="240" w:lineRule="auto"/>
      <w:textAlignment w:val="auto"/>
    </w:pPr>
    <w:rPr>
      <w:rFonts w:ascii="Calibri" w:hAnsi="Calibri" w:cs="宋体"/>
      <w:color w:val="auto"/>
      <w:szCs w:val="21"/>
    </w:rPr>
  </w:style>
  <w:style w:type="paragraph" w:customStyle="1" w:styleId="352">
    <w:name w:val="表格"/>
    <w:basedOn w:val="346"/>
    <w:uiPriority w:val="0"/>
    <w:pPr>
      <w:spacing w:line="20" w:lineRule="atLeast"/>
      <w:ind w:left="0" w:leftChars="0" w:right="0" w:rightChars="0" w:firstLine="0" w:firstLineChars="0"/>
    </w:pPr>
    <w:rPr>
      <w:rFonts w:eastAsia="微软雅黑"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56</Pages>
  <Words>29851</Words>
  <Characters>31311</Characters>
  <Lines>258</Lines>
  <Paragraphs>72</Paragraphs>
  <TotalTime>4</TotalTime>
  <ScaleCrop>false</ScaleCrop>
  <LinksUpToDate>false</LinksUpToDate>
  <CharactersWithSpaces>33696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2024-08-27T02:21:00Z</dcterms:created>
  <dc:creator>Administrator</dc:creator>
  <cp:lastModifiedBy>Administrator</cp:lastModifiedBy>
  <cp:lastPrinted>2024-08-11T23:33:00Z</cp:lastPrinted>
  <dcterms:modified xsi:type="dcterms:W3CDTF">2024-09-03T08:14:27Z</dcterms:modified>
  <dc:subject>(代理机构名称）作者名称</dc:subject>
  <dc:title>项目编号：MASCG-HD2011030</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06FD325839274B6CA33EDB4EBDC5CFC7_13</vt:lpwstr>
  </property>
</Properties>
</file>