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3D934">
      <w:pPr>
        <w:tabs>
          <w:tab w:val="left" w:pos="315"/>
          <w:tab w:val="left" w:pos="8820"/>
        </w:tabs>
        <w:spacing w:before="240" w:beforeLines="100" w:after="120" w:afterLines="50" w:line="500" w:lineRule="exact"/>
        <w:ind w:right="267" w:rightChars="127"/>
        <w:jc w:val="both"/>
        <w:rPr>
          <w:rFonts w:hint="eastAsia" w:ascii="宋体" w:hAnsi="宋体" w:eastAsia="宋体"/>
          <w:b/>
          <w:bCs/>
          <w:color w:val="auto"/>
          <w:sz w:val="52"/>
          <w:szCs w:val="52"/>
          <w:highlight w:val="none"/>
        </w:rPr>
      </w:pPr>
      <w:bookmarkStart w:id="277" w:name="_GoBack"/>
      <w:bookmarkEnd w:id="277"/>
    </w:p>
    <w:p w14:paraId="7D24380D">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0E1AEB52">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竞争性</w:t>
      </w:r>
      <w:r>
        <w:rPr>
          <w:rFonts w:hint="eastAsia" w:ascii="宋体" w:hAnsi="宋体" w:eastAsia="宋体"/>
          <w:b/>
          <w:bCs/>
          <w:color w:val="auto"/>
          <w:sz w:val="52"/>
          <w:szCs w:val="52"/>
          <w:highlight w:val="none"/>
          <w:lang w:eastAsia="zh-CN"/>
        </w:rPr>
        <w:t>谈判</w:t>
      </w:r>
      <w:r>
        <w:rPr>
          <w:rFonts w:hint="eastAsia" w:ascii="宋体" w:hAnsi="宋体" w:eastAsia="宋体"/>
          <w:b/>
          <w:bCs/>
          <w:color w:val="auto"/>
          <w:sz w:val="52"/>
          <w:szCs w:val="52"/>
          <w:highlight w:val="none"/>
        </w:rPr>
        <w:t>文件示范文本（服务类）</w:t>
      </w:r>
    </w:p>
    <w:bookmarkEnd w:id="0"/>
    <w:p w14:paraId="75C7DC9A">
      <w:pPr>
        <w:tabs>
          <w:tab w:val="left" w:pos="315"/>
          <w:tab w:val="left" w:pos="8820"/>
        </w:tabs>
        <w:spacing w:before="240" w:beforeLines="100" w:after="120" w:afterLines="50" w:line="500" w:lineRule="exact"/>
        <w:ind w:right="267" w:rightChars="127"/>
        <w:jc w:val="center"/>
        <w:rPr>
          <w:rFonts w:hint="eastAsia" w:ascii="宋体" w:hAnsi="宋体" w:eastAsia="宋体"/>
          <w:bCs/>
          <w:color w:val="auto"/>
          <w:sz w:val="44"/>
          <w:szCs w:val="44"/>
          <w:highlight w:val="none"/>
        </w:rPr>
      </w:pPr>
      <w:r>
        <w:rPr>
          <w:rFonts w:hint="eastAsia" w:ascii="宋体" w:hAnsi="宋体" w:eastAsia="宋体"/>
          <w:b/>
          <w:bCs/>
          <w:color w:val="auto"/>
          <w:sz w:val="52"/>
          <w:szCs w:val="52"/>
          <w:highlight w:val="none"/>
        </w:rPr>
        <w:t>（</w:t>
      </w:r>
      <w:r>
        <w:rPr>
          <w:rFonts w:hint="eastAsia" w:ascii="宋体" w:hAnsi="宋体" w:eastAsia="宋体"/>
          <w:b/>
          <w:bCs/>
          <w:color w:val="auto"/>
          <w:sz w:val="52"/>
          <w:szCs w:val="52"/>
          <w:highlight w:val="none"/>
          <w:lang w:eastAsia="zh-CN"/>
        </w:rPr>
        <w:t>202</w:t>
      </w:r>
      <w:r>
        <w:rPr>
          <w:rFonts w:hint="eastAsia" w:ascii="宋体" w:hAnsi="宋体" w:eastAsia="宋体"/>
          <w:b/>
          <w:bCs/>
          <w:color w:val="auto"/>
          <w:sz w:val="52"/>
          <w:szCs w:val="52"/>
          <w:highlight w:val="none"/>
          <w:lang w:val="en-US" w:eastAsia="zh-CN"/>
        </w:rPr>
        <w:t>4</w:t>
      </w:r>
      <w:r>
        <w:rPr>
          <w:rFonts w:hint="eastAsia" w:ascii="宋体" w:hAnsi="宋体" w:eastAsia="宋体"/>
          <w:b/>
          <w:bCs/>
          <w:color w:val="auto"/>
          <w:sz w:val="52"/>
          <w:szCs w:val="52"/>
          <w:highlight w:val="none"/>
        </w:rPr>
        <w:t>版）</w:t>
      </w:r>
    </w:p>
    <w:p w14:paraId="74BBDAA6">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44"/>
          <w:szCs w:val="44"/>
          <w:highlight w:val="none"/>
        </w:rPr>
      </w:pPr>
    </w:p>
    <w:p w14:paraId="5390D376">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44"/>
          <w:szCs w:val="44"/>
          <w:highlight w:val="none"/>
        </w:rPr>
      </w:pPr>
    </w:p>
    <w:p w14:paraId="346610F6">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44"/>
          <w:szCs w:val="44"/>
          <w:highlight w:val="none"/>
        </w:rPr>
      </w:pPr>
    </w:p>
    <w:p w14:paraId="4C8B4AFE">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44"/>
          <w:szCs w:val="44"/>
          <w:highlight w:val="none"/>
        </w:rPr>
      </w:pPr>
    </w:p>
    <w:p w14:paraId="3D31035B">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44"/>
          <w:szCs w:val="44"/>
          <w:highlight w:val="none"/>
        </w:rPr>
      </w:pPr>
    </w:p>
    <w:p w14:paraId="775CB139">
      <w:pPr>
        <w:pStyle w:val="8"/>
        <w:rPr>
          <w:rFonts w:hint="eastAsia"/>
          <w:color w:val="auto"/>
          <w:highlight w:val="none"/>
        </w:rPr>
      </w:pPr>
    </w:p>
    <w:p w14:paraId="4F2061A6">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44"/>
          <w:szCs w:val="44"/>
          <w:highlight w:val="none"/>
        </w:rPr>
      </w:pPr>
    </w:p>
    <w:p w14:paraId="4AAC4BA8">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44"/>
          <w:szCs w:val="44"/>
          <w:highlight w:val="none"/>
        </w:rPr>
      </w:pPr>
    </w:p>
    <w:p w14:paraId="50AB4D4D">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44"/>
          <w:szCs w:val="44"/>
          <w:highlight w:val="none"/>
        </w:rPr>
      </w:pPr>
    </w:p>
    <w:p w14:paraId="2C8ADB63">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滁州技师学院2025年全国职业技能大赛世赛争夺赛中职组财经赛道技术服务及培训项目</w:t>
      </w:r>
    </w:p>
    <w:p w14:paraId="7F97DF3D">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rPr>
        <w:t xml:space="preserve"> </w:t>
      </w:r>
      <w:r>
        <w:rPr>
          <w:rFonts w:hint="eastAsia" w:ascii="宋体" w:hAnsi="宋体" w:eastAsia="宋体"/>
          <w:b/>
          <w:color w:val="auto"/>
          <w:spacing w:val="20"/>
          <w:kern w:val="0"/>
          <w:sz w:val="32"/>
          <w:szCs w:val="32"/>
          <w:highlight w:val="none"/>
          <w:u w:val="single"/>
          <w:lang w:val="en-US" w:eastAsia="zh-CN"/>
        </w:rPr>
        <w:t xml:space="preserve">滁州市机电工程学校 </w:t>
      </w:r>
    </w:p>
    <w:p w14:paraId="7C5B7256">
      <w:pPr>
        <w:tabs>
          <w:tab w:val="left" w:pos="2410"/>
        </w:tabs>
        <w:autoSpaceDE w:val="0"/>
        <w:autoSpaceDN w:val="0"/>
        <w:adjustRightInd w:val="0"/>
        <w:snapToGrid w:val="0"/>
        <w:spacing w:line="360" w:lineRule="auto"/>
        <w:ind w:firstLine="723" w:firstLineChars="200"/>
        <w:rPr>
          <w:rFonts w:hint="eastAsia" w:ascii="宋体" w:hAnsi="宋体" w:eastAsia="宋体"/>
          <w:b/>
          <w:bCs/>
          <w:color w:val="auto"/>
          <w:sz w:val="44"/>
          <w:szCs w:val="44"/>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eastAsia="zh-CN"/>
        </w:rPr>
        <w:t>安徽星启工程项目管理有限公司</w:t>
      </w:r>
    </w:p>
    <w:p w14:paraId="4B053DBA">
      <w:pPr>
        <w:tabs>
          <w:tab w:val="left" w:pos="2410"/>
        </w:tabs>
        <w:autoSpaceDE w:val="0"/>
        <w:autoSpaceDN w:val="0"/>
        <w:adjustRightInd w:val="0"/>
        <w:snapToGrid w:val="0"/>
        <w:spacing w:line="360" w:lineRule="auto"/>
        <w:ind w:firstLine="2168" w:firstLineChars="600"/>
        <w:jc w:val="both"/>
        <w:rPr>
          <w:rFonts w:hint="eastAsia" w:ascii="宋体" w:hAnsi="宋体" w:eastAsia="宋体"/>
          <w:b/>
          <w:color w:val="auto"/>
          <w:sz w:val="36"/>
          <w:highlight w:val="none"/>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eastAsia="zh-CN"/>
        </w:rPr>
        <w:t>2025</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 xml:space="preserve">07 </w:t>
      </w:r>
      <w:r>
        <w:rPr>
          <w:rFonts w:hint="eastAsia" w:ascii="宋体" w:hAnsi="宋体" w:eastAsia="宋体"/>
          <w:b/>
          <w:color w:val="auto"/>
          <w:sz w:val="36"/>
          <w:highlight w:val="none"/>
        </w:rPr>
        <w:t>月</w:t>
      </w:r>
    </w:p>
    <w:p w14:paraId="2D0A1FA2">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ascii="宋体" w:hAnsi="宋体" w:eastAsia="宋体"/>
          <w:b/>
          <w:color w:val="auto"/>
          <w:sz w:val="36"/>
          <w:highlight w:val="none"/>
        </w:rPr>
        <w:br w:type="page"/>
      </w:r>
    </w:p>
    <w:p w14:paraId="06C964AB">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424D6BBC">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72CDA38E">
      <w:pPr>
        <w:pStyle w:val="16"/>
        <w:tabs>
          <w:tab w:val="right" w:leader="dot" w:pos="8279"/>
        </w:tabs>
        <w:rPr>
          <w:color w:val="auto"/>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color w:val="auto"/>
          <w:highlight w:val="none"/>
        </w:rPr>
        <w:fldChar w:fldCharType="begin"/>
      </w:r>
      <w:r>
        <w:rPr>
          <w:color w:val="auto"/>
          <w:highlight w:val="none"/>
        </w:rPr>
        <w:instrText xml:space="preserve"> HYPERLINK \l "_Toc19988"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w:t>
      </w:r>
      <w:r>
        <w:rPr>
          <w:rFonts w:hint="eastAsia" w:asciiTheme="minorEastAsia" w:hAnsiTheme="minorEastAsia"/>
          <w:color w:val="auto"/>
          <w:highlight w:val="none"/>
          <w:lang w:eastAsia="zh-CN"/>
        </w:rPr>
        <w:t>谈判</w:t>
      </w:r>
      <w:r>
        <w:rPr>
          <w:rFonts w:hint="eastAsia" w:asciiTheme="minorEastAsia" w:hAnsiTheme="minorEastAsia"/>
          <w:color w:val="auto"/>
          <w:highlight w:val="none"/>
        </w:rPr>
        <w:t>邀请</w:t>
      </w:r>
      <w:r>
        <w:rPr>
          <w:color w:val="auto"/>
          <w:highlight w:val="none"/>
        </w:rPr>
        <w:tab/>
      </w:r>
      <w:r>
        <w:rPr>
          <w:color w:val="auto"/>
          <w:highlight w:val="none"/>
        </w:rPr>
        <w:fldChar w:fldCharType="begin"/>
      </w:r>
      <w:r>
        <w:rPr>
          <w:color w:val="auto"/>
          <w:highlight w:val="none"/>
        </w:rPr>
        <w:instrText xml:space="preserve"> PAGEREF _Toc19988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307073CD">
      <w:pPr>
        <w:pStyle w:val="16"/>
        <w:tabs>
          <w:tab w:val="right" w:leader="dot" w:pos="8279"/>
        </w:tabs>
        <w:rPr>
          <w:color w:val="auto"/>
          <w:highlight w:val="none"/>
        </w:rPr>
      </w:pPr>
      <w:r>
        <w:rPr>
          <w:color w:val="auto"/>
          <w:highlight w:val="none"/>
        </w:rPr>
        <w:fldChar w:fldCharType="begin"/>
      </w:r>
      <w:r>
        <w:rPr>
          <w:color w:val="auto"/>
          <w:highlight w:val="none"/>
        </w:rPr>
        <w:instrText xml:space="preserve"> HYPERLINK \l "_Toc7162"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供应商</w:t>
      </w:r>
      <w:r>
        <w:rPr>
          <w:rFonts w:asciiTheme="minorEastAsia" w:hAnsiTheme="minor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_Toc7162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070B84C2">
      <w:pPr>
        <w:pStyle w:val="16"/>
        <w:tabs>
          <w:tab w:val="right" w:leader="dot" w:pos="8279"/>
        </w:tabs>
        <w:rPr>
          <w:color w:val="auto"/>
          <w:highlight w:val="none"/>
        </w:rPr>
      </w:pPr>
      <w:r>
        <w:rPr>
          <w:color w:val="auto"/>
          <w:highlight w:val="none"/>
        </w:rPr>
        <w:fldChar w:fldCharType="begin"/>
      </w:r>
      <w:r>
        <w:rPr>
          <w:color w:val="auto"/>
          <w:highlight w:val="none"/>
        </w:rPr>
        <w:instrText xml:space="preserve"> HYPERLINK \l "_Toc19440"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_Toc19440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3463C55">
      <w:pPr>
        <w:pStyle w:val="16"/>
        <w:tabs>
          <w:tab w:val="right" w:leader="dot" w:pos="8279"/>
        </w:tabs>
        <w:rPr>
          <w:color w:val="auto"/>
          <w:highlight w:val="none"/>
        </w:rPr>
      </w:pPr>
      <w:r>
        <w:rPr>
          <w:color w:val="auto"/>
          <w:highlight w:val="none"/>
        </w:rPr>
        <w:fldChar w:fldCharType="begin"/>
      </w:r>
      <w:r>
        <w:rPr>
          <w:color w:val="auto"/>
          <w:highlight w:val="none"/>
        </w:rPr>
        <w:instrText xml:space="preserve"> HYPERLINK \l "_Toc8668" </w:instrText>
      </w:r>
      <w:r>
        <w:rPr>
          <w:color w:val="auto"/>
          <w:highlight w:val="none"/>
        </w:rPr>
        <w:fldChar w:fldCharType="separate"/>
      </w:r>
      <w:r>
        <w:rPr>
          <w:rFonts w:hint="eastAsia" w:asciiTheme="minorEastAsia" w:hAnsiTheme="minorEastAsia"/>
          <w:color w:val="auto"/>
          <w:highlight w:val="none"/>
        </w:rPr>
        <w:t>第四章  评审方法和标准</w:t>
      </w:r>
      <w:r>
        <w:rPr>
          <w:color w:val="auto"/>
          <w:highlight w:val="none"/>
        </w:rPr>
        <w:tab/>
      </w:r>
      <w:r>
        <w:rPr>
          <w:color w:val="auto"/>
          <w:highlight w:val="none"/>
        </w:rPr>
        <w:fldChar w:fldCharType="begin"/>
      </w:r>
      <w:r>
        <w:rPr>
          <w:color w:val="auto"/>
          <w:highlight w:val="none"/>
        </w:rPr>
        <w:instrText xml:space="preserve"> PAGEREF _Toc8668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005A461E">
      <w:pPr>
        <w:pStyle w:val="16"/>
        <w:tabs>
          <w:tab w:val="right" w:leader="dot" w:pos="8279"/>
        </w:tabs>
        <w:rPr>
          <w:color w:val="auto"/>
          <w:highlight w:val="none"/>
        </w:rPr>
      </w:pPr>
      <w:r>
        <w:rPr>
          <w:color w:val="auto"/>
          <w:highlight w:val="none"/>
        </w:rPr>
        <w:fldChar w:fldCharType="begin"/>
      </w:r>
      <w:r>
        <w:rPr>
          <w:color w:val="auto"/>
          <w:highlight w:val="none"/>
        </w:rPr>
        <w:instrText xml:space="preserve"> HYPERLINK \l "_Toc17167"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政府采购合同</w:t>
      </w:r>
      <w:r>
        <w:rPr>
          <w:color w:val="auto"/>
          <w:highlight w:val="none"/>
        </w:rPr>
        <w:tab/>
      </w:r>
      <w:r>
        <w:rPr>
          <w:color w:val="auto"/>
          <w:highlight w:val="none"/>
        </w:rPr>
        <w:fldChar w:fldCharType="begin"/>
      </w:r>
      <w:r>
        <w:rPr>
          <w:color w:val="auto"/>
          <w:highlight w:val="none"/>
        </w:rPr>
        <w:instrText xml:space="preserve"> PAGEREF _Toc17167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251EA7B0">
      <w:pPr>
        <w:pStyle w:val="16"/>
        <w:tabs>
          <w:tab w:val="right" w:leader="dot" w:pos="8279"/>
        </w:tabs>
        <w:rPr>
          <w:color w:val="auto"/>
          <w:highlight w:val="none"/>
        </w:rPr>
      </w:pPr>
      <w:r>
        <w:rPr>
          <w:color w:val="auto"/>
          <w:highlight w:val="none"/>
        </w:rPr>
        <w:fldChar w:fldCharType="begin"/>
      </w:r>
      <w:r>
        <w:rPr>
          <w:color w:val="auto"/>
          <w:highlight w:val="none"/>
        </w:rPr>
        <w:instrText xml:space="preserve"> HYPERLINK \l "_Toc25148" </w:instrText>
      </w:r>
      <w:r>
        <w:rPr>
          <w:color w:val="auto"/>
          <w:highlight w:val="none"/>
        </w:rPr>
        <w:fldChar w:fldCharType="separate"/>
      </w:r>
      <w:r>
        <w:rPr>
          <w:rFonts w:hint="eastAsia" w:asciiTheme="minorEastAsia" w:hAnsiTheme="minorEastAsia"/>
          <w:color w:val="auto"/>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_Toc25148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602F6A61">
      <w:pPr>
        <w:pStyle w:val="16"/>
        <w:tabs>
          <w:tab w:val="right" w:leader="dot" w:pos="8279"/>
        </w:tabs>
        <w:rPr>
          <w:color w:val="auto"/>
          <w:highlight w:val="none"/>
        </w:rPr>
      </w:pPr>
      <w:r>
        <w:rPr>
          <w:color w:val="auto"/>
          <w:highlight w:val="none"/>
        </w:rPr>
        <w:fldChar w:fldCharType="begin"/>
      </w:r>
      <w:r>
        <w:rPr>
          <w:color w:val="auto"/>
          <w:highlight w:val="none"/>
        </w:rPr>
        <w:instrText xml:space="preserve"> HYPERLINK \l "_Toc19418" </w:instrText>
      </w:r>
      <w:r>
        <w:rPr>
          <w:color w:val="auto"/>
          <w:highlight w:val="none"/>
        </w:rPr>
        <w:fldChar w:fldCharType="separate"/>
      </w:r>
      <w:r>
        <w:rPr>
          <w:rFonts w:hint="eastAsia" w:ascii="宋体" w:hAnsi="宋体" w:eastAsia="宋体"/>
          <w:bCs/>
          <w:color w:val="auto"/>
          <w:highlight w:val="none"/>
        </w:rPr>
        <w:t>第七章  政府采购</w:t>
      </w:r>
      <w:r>
        <w:rPr>
          <w:rFonts w:hint="eastAsia" w:asciiTheme="minorEastAsia" w:hAnsi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_Toc19418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40E22155">
      <w:pPr>
        <w:pStyle w:val="17"/>
        <w:tabs>
          <w:tab w:val="right" w:leader="dot" w:pos="8296"/>
        </w:tabs>
        <w:rPr>
          <w:rFonts w:hint="eastAsia" w:asciiTheme="minorEastAsia" w:hAnsiTheme="minorEastAsia"/>
          <w:b/>
          <w:color w:val="auto"/>
          <w:sz w:val="32"/>
          <w:highlight w:val="none"/>
        </w:rPr>
      </w:pPr>
      <w:r>
        <w:rPr>
          <w:rFonts w:asciiTheme="minorEastAsia" w:hAnsiTheme="minorEastAsia"/>
          <w:bCs/>
          <w:color w:val="auto"/>
          <w:szCs w:val="24"/>
          <w:highlight w:val="none"/>
        </w:rPr>
        <w:fldChar w:fldCharType="end"/>
      </w:r>
    </w:p>
    <w:p w14:paraId="0E0124C3">
      <w:pPr>
        <w:spacing w:line="360" w:lineRule="auto"/>
        <w:jc w:val="center"/>
        <w:outlineLvl w:val="1"/>
        <w:rPr>
          <w:rFonts w:hint="eastAsia"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748B3266">
      <w:pPr>
        <w:spacing w:line="360" w:lineRule="auto"/>
        <w:jc w:val="center"/>
        <w:outlineLvl w:val="0"/>
        <w:rPr>
          <w:rFonts w:hint="eastAsia" w:asciiTheme="minorEastAsia" w:hAnsiTheme="minorEastAsia" w:eastAsiaTheme="minorEastAsia"/>
          <w:b/>
          <w:color w:val="auto"/>
          <w:sz w:val="28"/>
          <w:highlight w:val="none"/>
        </w:rPr>
      </w:pPr>
      <w:bookmarkStart w:id="1" w:name="_Toc19988"/>
      <w:bookmarkStart w:id="2" w:name="_Toc50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lang w:eastAsia="zh-CN"/>
        </w:rPr>
        <w:t>谈判</w:t>
      </w:r>
      <w:r>
        <w:rPr>
          <w:rFonts w:hint="eastAsia" w:asciiTheme="minorEastAsia" w:hAnsiTheme="minorEastAsia" w:eastAsiaTheme="minorEastAsia"/>
          <w:b/>
          <w:color w:val="auto"/>
          <w:sz w:val="28"/>
          <w:highlight w:val="none"/>
        </w:rPr>
        <w:t>邀请</w:t>
      </w:r>
      <w:bookmarkEnd w:id="1"/>
      <w:bookmarkEnd w:id="2"/>
    </w:p>
    <w:p w14:paraId="54B27C76">
      <w:pPr>
        <w:pStyle w:val="3"/>
        <w:spacing w:before="0" w:after="0" w:line="360" w:lineRule="auto"/>
        <w:ind w:firstLine="482"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一、项目基本情况</w:t>
      </w:r>
    </w:p>
    <w:p w14:paraId="3D80FAA4">
      <w:pPr>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1.项目名称：</w:t>
      </w:r>
      <w:r>
        <w:rPr>
          <w:rFonts w:hint="eastAsia" w:ascii="宋体" w:hAnsi="宋体" w:eastAsia="宋体" w:cs="宋体"/>
          <w:color w:val="auto"/>
          <w:sz w:val="24"/>
          <w:szCs w:val="24"/>
          <w:highlight w:val="none"/>
          <w:u w:val="single"/>
          <w:lang w:eastAsia="zh-CN"/>
        </w:rPr>
        <w:t>滁州技师学院2025年全国职业技能大赛世赛争夺赛中职组财经赛道技术服务及培训项目</w:t>
      </w:r>
    </w:p>
    <w:p w14:paraId="54BE91C4">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2.采购方式：</w:t>
      </w:r>
      <w:r>
        <w:rPr>
          <w:rFonts w:hint="eastAsia" w:ascii="宋体" w:hAnsi="宋体" w:eastAsia="宋体" w:cs="宋体"/>
          <w:color w:val="auto"/>
          <w:sz w:val="24"/>
          <w:szCs w:val="24"/>
          <w:highlight w:val="none"/>
          <w:u w:val="single"/>
        </w:rPr>
        <w:t>竞争性谈判</w:t>
      </w:r>
    </w:p>
    <w:p w14:paraId="35BC237E">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3.邀请供应商方式：□公告 □从省级以上财政部门建立的供应商库中随机抽取</w:t>
      </w:r>
      <w:r>
        <w:rPr>
          <w:rFonts w:hint="eastAsia" w:ascii="宋体" w:hAnsi="宋体" w:eastAsia="宋体" w:cs="宋体"/>
          <w:color w:val="auto"/>
          <w:sz w:val="24"/>
          <w:szCs w:val="24"/>
          <w:highlight w:val="none"/>
          <w:u w:val="single"/>
        </w:rPr>
        <w:t xml:space="preserve"> ☑采购人和评审专家分别书面推荐。</w:t>
      </w:r>
    </w:p>
    <w:p w14:paraId="4DA101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eastAsia="宋体"/>
          <w:color w:val="auto"/>
          <w:sz w:val="24"/>
          <w:szCs w:val="18"/>
          <w:highlight w:val="none"/>
          <w:u w:val="single"/>
          <w:lang w:val="en-US" w:eastAsia="zh-CN"/>
        </w:rPr>
        <w:t>1688</w:t>
      </w:r>
      <w:r>
        <w:rPr>
          <w:rFonts w:hint="eastAsia" w:ascii="宋体" w:hAnsi="宋体" w:eastAsia="宋体"/>
          <w:color w:val="auto"/>
          <w:sz w:val="24"/>
          <w:szCs w:val="18"/>
          <w:highlight w:val="none"/>
          <w:u w:val="single"/>
        </w:rPr>
        <w:t>00.000元</w:t>
      </w:r>
    </w:p>
    <w:p w14:paraId="45EB0C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5.最高限价：</w:t>
      </w:r>
      <w:r>
        <w:rPr>
          <w:rFonts w:hint="eastAsia" w:ascii="宋体" w:hAnsi="宋体" w:eastAsia="宋体"/>
          <w:color w:val="auto"/>
          <w:sz w:val="24"/>
          <w:szCs w:val="18"/>
          <w:highlight w:val="none"/>
          <w:u w:val="single"/>
          <w:lang w:val="en-US" w:eastAsia="zh-CN"/>
        </w:rPr>
        <w:t>1688</w:t>
      </w:r>
      <w:r>
        <w:rPr>
          <w:rFonts w:hint="eastAsia" w:ascii="宋体" w:hAnsi="宋体" w:eastAsia="宋体"/>
          <w:color w:val="auto"/>
          <w:sz w:val="24"/>
          <w:szCs w:val="18"/>
          <w:highlight w:val="none"/>
          <w:u w:val="single"/>
        </w:rPr>
        <w:t>00.000元，报价不得高于最高限价，否则按无效处理。</w:t>
      </w:r>
    </w:p>
    <w:p w14:paraId="3823AE5C">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6.采购需求：</w:t>
      </w:r>
      <w:r>
        <w:rPr>
          <w:rFonts w:hint="eastAsia" w:ascii="宋体" w:hAnsi="宋体" w:eastAsia="宋体" w:cs="宋体"/>
          <w:color w:val="auto"/>
          <w:sz w:val="24"/>
          <w:szCs w:val="24"/>
          <w:highlight w:val="none"/>
          <w:u w:val="single"/>
          <w:lang w:eastAsia="zh-CN"/>
        </w:rPr>
        <w:t>滁州技师学院2025年全国职业技能大赛世赛争夺赛中职组财经赛道技术服务及培训项目</w:t>
      </w:r>
      <w:r>
        <w:rPr>
          <w:rFonts w:hint="eastAsia" w:ascii="宋体" w:hAnsi="宋体" w:eastAsia="宋体" w:cs="宋体"/>
          <w:color w:val="auto"/>
          <w:sz w:val="24"/>
          <w:szCs w:val="24"/>
          <w:highlight w:val="none"/>
          <w:u w:val="single"/>
        </w:rPr>
        <w:t>，</w:t>
      </w:r>
      <w:r>
        <w:rPr>
          <w:rFonts w:hint="eastAsia" w:ascii="宋体" w:hAnsi="宋体" w:eastAsia="宋体"/>
          <w:color w:val="auto"/>
          <w:sz w:val="24"/>
          <w:szCs w:val="18"/>
          <w:highlight w:val="none"/>
          <w:u w:val="single"/>
        </w:rPr>
        <w:t>具体详见谈判文件。</w:t>
      </w:r>
    </w:p>
    <w:p w14:paraId="292532E0">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7.服务期限：</w:t>
      </w:r>
      <w:r>
        <w:rPr>
          <w:rFonts w:hint="eastAsia" w:ascii="宋体" w:hAnsi="宋体" w:eastAsia="宋体"/>
          <w:color w:val="auto"/>
          <w:sz w:val="24"/>
          <w:szCs w:val="18"/>
          <w:highlight w:val="none"/>
          <w:u w:val="single"/>
          <w:lang w:val="en-US" w:eastAsia="zh-CN"/>
        </w:rPr>
        <w:t xml:space="preserve"> 本项目所有线下培训于2025年8月15日前完成（具体根据大赛时间做适当调整）</w:t>
      </w:r>
      <w:r>
        <w:rPr>
          <w:rFonts w:hint="eastAsia" w:ascii="宋体" w:hAnsi="宋体" w:eastAsia="宋体"/>
          <w:color w:val="auto"/>
          <w:sz w:val="24"/>
          <w:szCs w:val="18"/>
          <w:highlight w:val="none"/>
          <w:u w:val="single"/>
        </w:rPr>
        <w:t>。</w:t>
      </w:r>
    </w:p>
    <w:p w14:paraId="539B97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olor w:val="auto"/>
          <w:sz w:val="24"/>
          <w:highlight w:val="none"/>
        </w:rPr>
        <w:t>本项目不接受联合体谈判</w:t>
      </w:r>
    </w:p>
    <w:p w14:paraId="7B91231D">
      <w:pPr>
        <w:pStyle w:val="3"/>
        <w:spacing w:before="0" w:after="0" w:line="360" w:lineRule="auto"/>
        <w:ind w:firstLine="482" w:firstLineChars="200"/>
        <w:rPr>
          <w:rFonts w:hint="eastAsia" w:ascii="宋体" w:hAnsi="宋体" w:eastAsia="宋体" w:cs="宋体"/>
          <w:bCs w:val="0"/>
          <w:color w:val="auto"/>
          <w:sz w:val="24"/>
          <w:szCs w:val="24"/>
          <w:highlight w:val="none"/>
        </w:rPr>
      </w:pPr>
      <w:bookmarkStart w:id="3" w:name="_Toc28359013"/>
      <w:bookmarkStart w:id="4" w:name="_Toc28359090"/>
      <w:bookmarkStart w:id="5" w:name="_Toc35393799"/>
      <w:bookmarkStart w:id="6" w:name="_Toc35393630"/>
      <w:bookmarkStart w:id="7" w:name="_Toc32615"/>
      <w:r>
        <w:rPr>
          <w:rFonts w:hint="eastAsia" w:ascii="宋体" w:hAnsi="宋体" w:eastAsia="宋体" w:cs="宋体"/>
          <w:bCs w:val="0"/>
          <w:color w:val="auto"/>
          <w:sz w:val="24"/>
          <w:szCs w:val="24"/>
          <w:highlight w:val="none"/>
        </w:rPr>
        <w:t>二、</w:t>
      </w:r>
      <w:bookmarkEnd w:id="3"/>
      <w:bookmarkEnd w:id="4"/>
      <w:bookmarkEnd w:id="5"/>
      <w:bookmarkEnd w:id="6"/>
      <w:bookmarkEnd w:id="7"/>
      <w:r>
        <w:rPr>
          <w:rFonts w:hint="eastAsia" w:ascii="宋体" w:hAnsi="宋体" w:eastAsia="宋体" w:cs="宋体"/>
          <w:bCs w:val="0"/>
          <w:color w:val="auto"/>
          <w:sz w:val="24"/>
          <w:szCs w:val="24"/>
          <w:highlight w:val="none"/>
        </w:rPr>
        <w:t>申请人的资格要求：</w:t>
      </w:r>
    </w:p>
    <w:p w14:paraId="10A844EF">
      <w:pPr>
        <w:spacing w:line="360" w:lineRule="auto"/>
        <w:ind w:firstLine="435"/>
        <w:rPr>
          <w:rFonts w:hint="eastAsia" w:ascii="宋体" w:hAnsi="宋体" w:eastAsia="宋体" w:cs="宋体"/>
          <w:color w:val="auto"/>
          <w:sz w:val="24"/>
          <w:szCs w:val="24"/>
          <w:highlight w:val="none"/>
        </w:rPr>
      </w:pPr>
      <w:bookmarkStart w:id="8" w:name="_Toc28359014"/>
      <w:bookmarkStart w:id="9" w:name="_Toc28359091"/>
      <w:r>
        <w:rPr>
          <w:rFonts w:hint="eastAsia" w:ascii="宋体" w:hAnsi="宋体" w:eastAsia="宋体" w:cs="宋体"/>
          <w:color w:val="auto"/>
          <w:sz w:val="24"/>
          <w:szCs w:val="24"/>
          <w:highlight w:val="none"/>
        </w:rPr>
        <w:t>1.满足《中华人民共和国政府采购法》第二十二条规定；</w:t>
      </w:r>
    </w:p>
    <w:p w14:paraId="35003456">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2.落实政府采购政策需满足的资格要求：无</w:t>
      </w:r>
      <w:r>
        <w:rPr>
          <w:rFonts w:hint="eastAsia" w:ascii="宋体" w:hAnsi="宋体" w:eastAsia="宋体" w:cs="宋体"/>
          <w:color w:val="auto"/>
          <w:sz w:val="24"/>
          <w:szCs w:val="24"/>
          <w:highlight w:val="none"/>
          <w:lang w:eastAsia="zh-CN"/>
        </w:rPr>
        <w:t>；</w:t>
      </w:r>
    </w:p>
    <w:p w14:paraId="2248F7A6">
      <w:pPr>
        <w:spacing w:line="460" w:lineRule="exact"/>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val="en-US" w:eastAsia="zh-CN"/>
        </w:rPr>
        <w:t>无；</w:t>
      </w:r>
    </w:p>
    <w:p w14:paraId="707E2A4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4.信誉要求：投标人不得存在以下情形：</w:t>
      </w:r>
    </w:p>
    <w:p w14:paraId="0D960DB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①被列入“信用中国”网站“失信被执行人”的；</w:t>
      </w:r>
    </w:p>
    <w:p w14:paraId="1FF58DA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②被列入“信用中国”网站“重大税收违法失信主体”的；</w:t>
      </w:r>
    </w:p>
    <w:p w14:paraId="28D8AE6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③被列入“信用中国”网站 “严重失信主体名单”的；</w:t>
      </w:r>
    </w:p>
    <w:p w14:paraId="5404ADE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④在“信用中国”网站上披露的仍在公示期的严重失信行为(具体行为类别及判定依据见“信用中国”查询的严重失信行为类别及判定依据)的。</w:t>
      </w:r>
    </w:p>
    <w:p w14:paraId="7A71618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⑤被列入国家企业信用信息公示系统网站“经营异常名录”或者“严重违法失信名单”的。</w:t>
      </w:r>
    </w:p>
    <w:p w14:paraId="4597201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⑥被列入中国政府采购网站“政府采购严重违法失信行为信息记录”的。</w:t>
      </w:r>
    </w:p>
    <w:p w14:paraId="42F3964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⑦前三年有行贿犯罪行为的单位和个人。</w:t>
      </w:r>
    </w:p>
    <w:p w14:paraId="0BE0C2B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5.投标人所属分公司、办事处等分支机构存在第4款信誉要求①-⑦项情形之一的，接受投标人参加本项目。</w:t>
      </w:r>
    </w:p>
    <w:p w14:paraId="60331C0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备注：第4、5条按照“关于联合惩戒失信行为加强信用查询管理的通知”查询或承诺。</w:t>
      </w:r>
    </w:p>
    <w:p w14:paraId="39347630">
      <w:pPr>
        <w:pStyle w:val="3"/>
        <w:spacing w:before="0" w:after="0" w:line="360" w:lineRule="auto"/>
        <w:ind w:firstLine="482" w:firstLineChars="200"/>
        <w:rPr>
          <w:rFonts w:hint="eastAsia" w:ascii="宋体" w:hAnsi="宋体" w:eastAsia="宋体" w:cs="宋体"/>
          <w:bCs w:val="0"/>
          <w:color w:val="auto"/>
          <w:sz w:val="24"/>
          <w:szCs w:val="24"/>
          <w:highlight w:val="none"/>
        </w:rPr>
      </w:pPr>
      <w:bookmarkStart w:id="10" w:name="_Toc35393800"/>
      <w:bookmarkStart w:id="11" w:name="_Toc35393631"/>
      <w:bookmarkStart w:id="12" w:name="_Toc24072"/>
      <w:r>
        <w:rPr>
          <w:rFonts w:hint="eastAsia" w:ascii="宋体" w:hAnsi="宋体" w:eastAsia="宋体" w:cs="宋体"/>
          <w:bCs w:val="0"/>
          <w:color w:val="auto"/>
          <w:sz w:val="24"/>
          <w:szCs w:val="24"/>
          <w:highlight w:val="none"/>
        </w:rPr>
        <w:t>三、获取采购文件</w:t>
      </w:r>
      <w:bookmarkEnd w:id="8"/>
      <w:bookmarkEnd w:id="9"/>
      <w:bookmarkEnd w:id="10"/>
      <w:bookmarkEnd w:id="11"/>
      <w:bookmarkEnd w:id="12"/>
    </w:p>
    <w:p w14:paraId="19287F00">
      <w:pPr>
        <w:spacing w:line="360" w:lineRule="auto"/>
        <w:ind w:firstLine="540"/>
        <w:rPr>
          <w:rFonts w:hint="eastAsia" w:ascii="宋体" w:hAnsi="宋体" w:eastAsia="宋体" w:cs="宋体"/>
          <w:i/>
          <w:iCs/>
          <w:color w:val="auto"/>
          <w:sz w:val="24"/>
          <w:szCs w:val="24"/>
          <w:highlight w:val="none"/>
        </w:rPr>
      </w:pPr>
      <w:bookmarkStart w:id="13" w:name="_Toc28359092"/>
      <w:bookmarkStart w:id="14" w:name="_Toc28359015"/>
      <w:bookmarkStart w:id="15" w:name="_Toc35393632"/>
      <w:bookmarkStart w:id="16" w:name="_Toc35393801"/>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2025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07</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24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2025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29</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60E0F3D">
      <w:pPr>
        <w:pStyle w:val="3"/>
        <w:spacing w:before="0" w:after="0" w:line="360" w:lineRule="auto"/>
        <w:ind w:firstLine="480" w:firstLineChars="200"/>
        <w:rPr>
          <w:rFonts w:hint="eastAsia" w:ascii="宋体" w:hAnsi="宋体" w:eastAsia="宋体" w:cs="宋体"/>
          <w:b w:val="0"/>
          <w:color w:val="auto"/>
          <w:sz w:val="24"/>
          <w:szCs w:val="24"/>
          <w:highlight w:val="none"/>
          <w:u w:val="single"/>
        </w:rPr>
      </w:pPr>
      <w:bookmarkStart w:id="17" w:name="_Toc5805"/>
      <w:r>
        <w:rPr>
          <w:rFonts w:hint="eastAsia" w:ascii="宋体" w:hAnsi="宋体" w:eastAsia="宋体" w:cs="宋体"/>
          <w:b w:val="0"/>
          <w:color w:val="auto"/>
          <w:sz w:val="24"/>
          <w:szCs w:val="24"/>
          <w:highlight w:val="none"/>
        </w:rPr>
        <w:t>地点：</w:t>
      </w:r>
      <w:r>
        <w:rPr>
          <w:rFonts w:hint="eastAsia" w:ascii="宋体" w:hAnsi="宋体" w:eastAsia="宋体" w:cs="宋体"/>
          <w:b w:val="0"/>
          <w:color w:val="auto"/>
          <w:sz w:val="24"/>
          <w:szCs w:val="24"/>
          <w:highlight w:val="none"/>
          <w:u w:val="single"/>
        </w:rPr>
        <w:t>滁州市机电工程学校官网（http://www.cztc.edu.cn/）</w:t>
      </w:r>
    </w:p>
    <w:p w14:paraId="2AFD1869">
      <w:pPr>
        <w:pStyle w:val="3"/>
        <w:spacing w:before="0" w:after="0" w:line="360" w:lineRule="auto"/>
        <w:ind w:firstLine="480" w:firstLineChars="200"/>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rPr>
        <w:t>方式：</w:t>
      </w:r>
      <w:r>
        <w:rPr>
          <w:rFonts w:hint="eastAsia" w:ascii="宋体" w:hAnsi="宋体" w:eastAsia="宋体" w:cs="宋体"/>
          <w:b w:val="0"/>
          <w:color w:val="auto"/>
          <w:sz w:val="24"/>
          <w:szCs w:val="24"/>
          <w:highlight w:val="none"/>
          <w:u w:val="single"/>
          <w:lang w:val="en-US" w:eastAsia="zh-CN"/>
        </w:rPr>
        <w:t>网上下载</w:t>
      </w:r>
    </w:p>
    <w:p w14:paraId="1E8D2BC5">
      <w:pPr>
        <w:pStyle w:val="3"/>
        <w:spacing w:before="0" w:after="0" w:line="360" w:lineRule="auto"/>
        <w:ind w:firstLine="480" w:firstLineChars="200"/>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售价：</w:t>
      </w:r>
      <w:r>
        <w:rPr>
          <w:rFonts w:hint="eastAsia" w:ascii="宋体" w:hAnsi="宋体" w:eastAsia="宋体" w:cs="宋体"/>
          <w:b w:val="0"/>
          <w:color w:val="auto"/>
          <w:sz w:val="24"/>
          <w:szCs w:val="24"/>
          <w:highlight w:val="none"/>
          <w:u w:val="single"/>
        </w:rPr>
        <w:t>0元</w:t>
      </w:r>
    </w:p>
    <w:p w14:paraId="32BACBC1">
      <w:pPr>
        <w:pStyle w:val="3"/>
        <w:spacing w:before="0" w:after="0" w:line="360" w:lineRule="auto"/>
        <w:ind w:firstLine="482"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四、响应文件提交</w:t>
      </w:r>
      <w:bookmarkEnd w:id="13"/>
      <w:bookmarkEnd w:id="14"/>
      <w:bookmarkEnd w:id="15"/>
      <w:bookmarkEnd w:id="16"/>
      <w:bookmarkEnd w:id="17"/>
    </w:p>
    <w:p w14:paraId="65E5B04C">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2025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07</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29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rPr>
        <w:t xml:space="preserve"> 00 </w:t>
      </w:r>
      <w:r>
        <w:rPr>
          <w:rFonts w:hint="eastAsia" w:ascii="宋体" w:hAnsi="宋体" w:eastAsia="宋体" w:cs="宋体"/>
          <w:bCs/>
          <w:color w:val="auto"/>
          <w:sz w:val="24"/>
          <w:szCs w:val="24"/>
          <w:highlight w:val="none"/>
        </w:rPr>
        <w:t>分（北京时间）</w:t>
      </w:r>
    </w:p>
    <w:p w14:paraId="2CF8CC23">
      <w:pPr>
        <w:pStyle w:val="3"/>
        <w:spacing w:before="0" w:after="0" w:line="360" w:lineRule="auto"/>
        <w:ind w:firstLine="482" w:firstLineChars="200"/>
        <w:rPr>
          <w:rFonts w:hint="eastAsia" w:ascii="宋体" w:hAnsi="宋体" w:eastAsia="宋体"/>
          <w:color w:val="auto"/>
          <w:sz w:val="24"/>
          <w:szCs w:val="18"/>
          <w:highlight w:val="none"/>
          <w:u w:val="single"/>
        </w:rPr>
      </w:pPr>
      <w:r>
        <w:rPr>
          <w:rFonts w:hint="eastAsia" w:ascii="宋体" w:hAnsi="宋体" w:eastAsia="宋体" w:cs="宋体"/>
          <w:color w:val="auto"/>
          <w:sz w:val="24"/>
          <w:szCs w:val="24"/>
          <w:highlight w:val="none"/>
        </w:rPr>
        <w:t>地点：</w:t>
      </w:r>
      <w:bookmarkStart w:id="18" w:name="_Toc35393633"/>
      <w:bookmarkStart w:id="19" w:name="_Toc32658"/>
      <w:bookmarkStart w:id="20" w:name="_Toc35393802"/>
      <w:bookmarkStart w:id="21" w:name="_Toc28359016"/>
      <w:bookmarkStart w:id="22" w:name="_Toc28359093"/>
      <w:r>
        <w:rPr>
          <w:rFonts w:hint="eastAsia" w:ascii="宋体" w:hAnsi="宋体" w:eastAsia="宋体"/>
          <w:color w:val="auto"/>
          <w:sz w:val="24"/>
          <w:szCs w:val="18"/>
          <w:highlight w:val="none"/>
          <w:u w:val="single"/>
        </w:rPr>
        <w:t>滁州市机电工程学校综合楼二楼会议室</w:t>
      </w:r>
    </w:p>
    <w:p w14:paraId="0D1D14A8">
      <w:pPr>
        <w:pStyle w:val="3"/>
        <w:spacing w:before="0" w:after="0" w:line="360" w:lineRule="auto"/>
        <w:ind w:firstLine="482"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五、开启</w:t>
      </w:r>
      <w:bookmarkEnd w:id="18"/>
      <w:bookmarkEnd w:id="19"/>
      <w:bookmarkEnd w:id="20"/>
      <w:bookmarkEnd w:id="21"/>
      <w:bookmarkEnd w:id="22"/>
    </w:p>
    <w:p w14:paraId="5C59879F">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eastAsia="宋体" w:cs="宋体"/>
          <w:bCs/>
          <w:color w:val="auto"/>
          <w:sz w:val="24"/>
          <w:szCs w:val="24"/>
          <w:highlight w:val="none"/>
          <w:u w:val="single"/>
        </w:rPr>
        <w:t xml:space="preserve"> 2025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07</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29</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rPr>
        <w:t xml:space="preserve"> 00  </w:t>
      </w:r>
      <w:r>
        <w:rPr>
          <w:rFonts w:hint="eastAsia" w:ascii="宋体" w:hAnsi="宋体" w:eastAsia="宋体" w:cs="宋体"/>
          <w:bCs/>
          <w:color w:val="auto"/>
          <w:sz w:val="24"/>
          <w:szCs w:val="24"/>
          <w:highlight w:val="none"/>
        </w:rPr>
        <w:t>分（北京时间）</w:t>
      </w:r>
    </w:p>
    <w:p w14:paraId="103CC50E">
      <w:pPr>
        <w:pStyle w:val="3"/>
        <w:spacing w:before="0" w:after="0" w:line="360" w:lineRule="auto"/>
        <w:ind w:firstLine="482" w:firstLineChars="200"/>
        <w:rPr>
          <w:rFonts w:hint="eastAsia" w:ascii="宋体" w:hAnsi="宋体" w:eastAsia="宋体"/>
          <w:color w:val="auto"/>
          <w:sz w:val="24"/>
          <w:szCs w:val="18"/>
          <w:highlight w:val="none"/>
          <w:u w:val="single"/>
        </w:rPr>
      </w:pPr>
      <w:r>
        <w:rPr>
          <w:rFonts w:hint="eastAsia" w:ascii="宋体" w:hAnsi="宋体" w:eastAsia="宋体" w:cs="宋体"/>
          <w:color w:val="auto"/>
          <w:sz w:val="24"/>
          <w:szCs w:val="24"/>
          <w:highlight w:val="none"/>
        </w:rPr>
        <w:t>地点：</w:t>
      </w:r>
      <w:bookmarkStart w:id="23" w:name="_Toc35393634"/>
      <w:bookmarkStart w:id="24" w:name="_Toc28359017"/>
      <w:bookmarkStart w:id="25" w:name="_Toc28359094"/>
      <w:bookmarkStart w:id="26" w:name="_Toc35393803"/>
      <w:bookmarkStart w:id="27" w:name="_Toc6935"/>
      <w:r>
        <w:rPr>
          <w:rFonts w:hint="eastAsia" w:ascii="宋体" w:hAnsi="宋体" w:eastAsia="宋体"/>
          <w:color w:val="auto"/>
          <w:sz w:val="24"/>
          <w:szCs w:val="18"/>
          <w:highlight w:val="none"/>
          <w:u w:val="single"/>
        </w:rPr>
        <w:t>滁州市机电工程学校综合楼二楼会议室</w:t>
      </w:r>
    </w:p>
    <w:p w14:paraId="143FDEDF">
      <w:pPr>
        <w:pStyle w:val="3"/>
        <w:spacing w:before="0" w:after="0" w:line="360" w:lineRule="auto"/>
        <w:ind w:firstLine="482"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六、公告期限</w:t>
      </w:r>
      <w:bookmarkEnd w:id="23"/>
      <w:bookmarkEnd w:id="24"/>
      <w:bookmarkEnd w:id="25"/>
      <w:bookmarkEnd w:id="26"/>
      <w:bookmarkEnd w:id="27"/>
    </w:p>
    <w:p w14:paraId="4F2A2A1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14:paraId="1AD72B6D">
      <w:pPr>
        <w:pStyle w:val="3"/>
        <w:spacing w:before="0" w:after="0" w:line="360" w:lineRule="auto"/>
        <w:ind w:firstLine="482" w:firstLineChars="200"/>
        <w:rPr>
          <w:rFonts w:hint="eastAsia" w:ascii="宋体" w:hAnsi="宋体" w:eastAsia="宋体" w:cs="宋体"/>
          <w:bCs w:val="0"/>
          <w:color w:val="auto"/>
          <w:sz w:val="24"/>
          <w:szCs w:val="24"/>
          <w:highlight w:val="none"/>
        </w:rPr>
      </w:pPr>
      <w:bookmarkStart w:id="28" w:name="_Toc23004"/>
      <w:bookmarkStart w:id="29" w:name="_Toc35393804"/>
      <w:bookmarkStart w:id="30" w:name="_Toc35393635"/>
      <w:r>
        <w:rPr>
          <w:rFonts w:hint="eastAsia" w:ascii="宋体" w:hAnsi="宋体" w:eastAsia="宋体" w:cs="宋体"/>
          <w:bCs w:val="0"/>
          <w:color w:val="auto"/>
          <w:sz w:val="24"/>
          <w:szCs w:val="24"/>
          <w:highlight w:val="none"/>
        </w:rPr>
        <w:t>七、</w:t>
      </w:r>
      <w:bookmarkEnd w:id="28"/>
      <w:bookmarkEnd w:id="29"/>
      <w:bookmarkEnd w:id="30"/>
      <w:r>
        <w:rPr>
          <w:rFonts w:hint="eastAsia" w:ascii="宋体" w:hAnsi="宋体" w:eastAsia="宋体" w:cs="宋体"/>
          <w:bCs w:val="0"/>
          <w:color w:val="auto"/>
          <w:sz w:val="24"/>
          <w:szCs w:val="24"/>
          <w:highlight w:val="none"/>
        </w:rPr>
        <w:t>保证金金额及缴纳账户</w:t>
      </w:r>
    </w:p>
    <w:p w14:paraId="50DE210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是否要求供应商提交保证金：不要求。</w:t>
      </w:r>
    </w:p>
    <w:p w14:paraId="31B0A6F4">
      <w:pPr>
        <w:pStyle w:val="3"/>
        <w:spacing w:before="0" w:after="0" w:line="360" w:lineRule="auto"/>
        <w:ind w:firstLine="482" w:firstLineChars="200"/>
        <w:rPr>
          <w:rFonts w:hint="eastAsia" w:ascii="宋体" w:hAnsi="宋体" w:eastAsia="宋体" w:cs="宋体"/>
          <w:bCs w:val="0"/>
          <w:color w:val="auto"/>
          <w:sz w:val="24"/>
          <w:szCs w:val="24"/>
          <w:highlight w:val="none"/>
        </w:rPr>
      </w:pPr>
      <w:bookmarkStart w:id="31" w:name="_Toc28359018"/>
      <w:bookmarkStart w:id="32" w:name="_Toc35393636"/>
      <w:bookmarkStart w:id="33" w:name="_Toc28099"/>
      <w:bookmarkStart w:id="34" w:name="_Toc28359095"/>
      <w:bookmarkStart w:id="35" w:name="_Toc35393805"/>
      <w:r>
        <w:rPr>
          <w:rFonts w:hint="eastAsia" w:ascii="宋体" w:hAnsi="宋体" w:eastAsia="宋体" w:cs="宋体"/>
          <w:bCs w:val="0"/>
          <w:color w:val="auto"/>
          <w:sz w:val="24"/>
          <w:szCs w:val="24"/>
          <w:highlight w:val="none"/>
        </w:rPr>
        <w:t>八、凡对本次采购提出询问，请按以下方式联系。</w:t>
      </w:r>
      <w:bookmarkEnd w:id="31"/>
      <w:bookmarkEnd w:id="32"/>
      <w:bookmarkEnd w:id="33"/>
      <w:bookmarkEnd w:id="34"/>
      <w:bookmarkEnd w:id="35"/>
    </w:p>
    <w:p w14:paraId="1777C79A">
      <w:pPr>
        <w:pStyle w:val="3"/>
        <w:spacing w:before="0" w:after="0" w:line="360" w:lineRule="auto"/>
        <w:ind w:firstLine="480" w:firstLineChars="200"/>
        <w:rPr>
          <w:rFonts w:hint="eastAsia" w:ascii="宋体" w:hAnsi="宋体" w:eastAsia="宋体" w:cs="宋体"/>
          <w:b w:val="0"/>
          <w:color w:val="auto"/>
          <w:sz w:val="24"/>
          <w:szCs w:val="24"/>
          <w:highlight w:val="none"/>
        </w:rPr>
      </w:pPr>
      <w:bookmarkStart w:id="36" w:name="_Toc29915"/>
      <w:bookmarkStart w:id="37" w:name="_Toc35393637"/>
      <w:bookmarkStart w:id="38" w:name="_Toc28359096"/>
      <w:bookmarkStart w:id="39" w:name="_Toc28359019"/>
      <w:bookmarkStart w:id="40" w:name="_Toc35393806"/>
      <w:r>
        <w:rPr>
          <w:rFonts w:hint="eastAsia" w:ascii="宋体" w:hAnsi="宋体" w:eastAsia="宋体" w:cs="宋体"/>
          <w:b w:val="0"/>
          <w:color w:val="auto"/>
          <w:sz w:val="24"/>
          <w:szCs w:val="24"/>
          <w:highlight w:val="none"/>
        </w:rPr>
        <w:t>1.采购人信息</w:t>
      </w:r>
      <w:bookmarkEnd w:id="36"/>
      <w:bookmarkEnd w:id="37"/>
      <w:bookmarkEnd w:id="38"/>
      <w:bookmarkEnd w:id="39"/>
      <w:bookmarkEnd w:id="40"/>
    </w:p>
    <w:p w14:paraId="7B2815C8">
      <w:pPr>
        <w:spacing w:line="360" w:lineRule="auto"/>
        <w:ind w:firstLine="435"/>
        <w:rPr>
          <w:rFonts w:hint="eastAsia" w:ascii="宋体" w:hAnsi="宋体" w:eastAsia="宋体"/>
          <w:color w:val="auto"/>
          <w:sz w:val="24"/>
          <w:szCs w:val="18"/>
          <w:highlight w:val="none"/>
        </w:rPr>
      </w:pPr>
      <w:bookmarkStart w:id="41" w:name="_Toc35393638"/>
      <w:bookmarkStart w:id="42" w:name="_Toc28359020"/>
      <w:bookmarkStart w:id="43" w:name="_Toc28359097"/>
      <w:bookmarkStart w:id="44" w:name="_Toc35393807"/>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滁州市机电工程学校</w:t>
      </w:r>
    </w:p>
    <w:p w14:paraId="78DC67C1">
      <w:pPr>
        <w:spacing w:line="360" w:lineRule="auto"/>
        <w:ind w:firstLine="435"/>
        <w:rPr>
          <w:rFonts w:hint="eastAsia"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 xml:space="preserve"> </w:t>
      </w:r>
      <w:r>
        <w:rPr>
          <w:rFonts w:hint="eastAsia" w:ascii="宋体" w:hAnsi="宋体" w:eastAsia="宋体" w:cs="宋体"/>
          <w:bCs/>
          <w:color w:val="auto"/>
          <w:sz w:val="24"/>
          <w:szCs w:val="24"/>
          <w:highlight w:val="none"/>
          <w:u w:val="single"/>
        </w:rPr>
        <w:t xml:space="preserve">安徽省滁州市丰乐大道2238号 </w:t>
      </w:r>
    </w:p>
    <w:p w14:paraId="55D14073">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联系人：</w:t>
      </w:r>
      <w:r>
        <w:rPr>
          <w:rFonts w:hint="eastAsia" w:ascii="宋体" w:hAnsi="宋体" w:eastAsia="宋体"/>
          <w:color w:val="auto"/>
          <w:sz w:val="24"/>
          <w:szCs w:val="18"/>
          <w:highlight w:val="none"/>
          <w:u w:val="single"/>
        </w:rPr>
        <w:t xml:space="preserve"> </w:t>
      </w:r>
      <w:r>
        <w:rPr>
          <w:rFonts w:hint="eastAsia" w:ascii="宋体" w:hAnsi="宋体" w:eastAsia="宋体" w:cs="宋体"/>
          <w:color w:val="auto"/>
          <w:sz w:val="24"/>
          <w:szCs w:val="24"/>
          <w:highlight w:val="none"/>
          <w:u w:val="single"/>
          <w:lang w:eastAsia="zh-CN"/>
        </w:rPr>
        <w:t>许老师</w:t>
      </w:r>
    </w:p>
    <w:p w14:paraId="17633769">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 xml:space="preserve"> </w:t>
      </w:r>
      <w:r>
        <w:rPr>
          <w:rFonts w:hint="eastAsia" w:ascii="宋体" w:hAnsi="宋体" w:eastAsia="宋体" w:cs="宋体"/>
          <w:color w:val="auto"/>
          <w:sz w:val="24"/>
          <w:szCs w:val="24"/>
          <w:highlight w:val="none"/>
          <w:u w:val="single"/>
          <w:lang w:eastAsia="zh-CN"/>
        </w:rPr>
        <w:t>15855013335</w:t>
      </w:r>
    </w:p>
    <w:p w14:paraId="39E57311">
      <w:pPr>
        <w:pStyle w:val="3"/>
        <w:spacing w:before="0" w:after="0" w:line="360" w:lineRule="auto"/>
        <w:ind w:firstLine="480" w:firstLineChars="200"/>
        <w:rPr>
          <w:rFonts w:hint="eastAsia" w:ascii="宋体" w:hAnsi="宋体" w:eastAsia="宋体" w:cs="宋体"/>
          <w:b w:val="0"/>
          <w:color w:val="auto"/>
          <w:sz w:val="24"/>
          <w:szCs w:val="24"/>
          <w:highlight w:val="none"/>
        </w:rPr>
      </w:pPr>
      <w:bookmarkStart w:id="45" w:name="_Toc15577"/>
      <w:r>
        <w:rPr>
          <w:rFonts w:hint="eastAsia" w:ascii="宋体" w:hAnsi="宋体" w:eastAsia="宋体" w:cs="宋体"/>
          <w:b w:val="0"/>
          <w:color w:val="auto"/>
          <w:sz w:val="24"/>
          <w:szCs w:val="24"/>
          <w:highlight w:val="none"/>
        </w:rPr>
        <w:t>2.采购代理机构信息</w:t>
      </w:r>
      <w:bookmarkEnd w:id="41"/>
      <w:bookmarkEnd w:id="42"/>
      <w:bookmarkEnd w:id="43"/>
      <w:bookmarkEnd w:id="44"/>
      <w:bookmarkEnd w:id="45"/>
    </w:p>
    <w:p w14:paraId="238E728C">
      <w:pPr>
        <w:spacing w:line="360" w:lineRule="auto"/>
        <w:ind w:firstLine="435"/>
        <w:rPr>
          <w:rFonts w:hint="eastAsia" w:ascii="宋体" w:hAnsi="宋体" w:eastAsia="宋体"/>
          <w:color w:val="auto"/>
          <w:sz w:val="24"/>
          <w:szCs w:val="18"/>
          <w:highlight w:val="none"/>
        </w:rPr>
      </w:pPr>
      <w:bookmarkStart w:id="46" w:name="_Toc28359021"/>
      <w:bookmarkStart w:id="47" w:name="_Toc35393639"/>
      <w:bookmarkStart w:id="48" w:name="_Toc28359098"/>
      <w:bookmarkStart w:id="49" w:name="_Toc35393808"/>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安徽星启工程项目管理有限公司</w:t>
      </w:r>
    </w:p>
    <w:p w14:paraId="519380A3">
      <w:pPr>
        <w:spacing w:line="360" w:lineRule="auto"/>
        <w:ind w:firstLine="435"/>
        <w:rPr>
          <w:rFonts w:hint="eastAsia" w:ascii="宋体" w:hAnsi="宋体" w:eastAsia="宋体" w:cs="宋体"/>
          <w:bCs/>
          <w:color w:val="auto"/>
          <w:sz w:val="24"/>
          <w:szCs w:val="24"/>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 xml:space="preserve"> </w:t>
      </w:r>
      <w:r>
        <w:rPr>
          <w:rFonts w:hint="eastAsia" w:ascii="宋体" w:hAnsi="宋体" w:eastAsia="宋体" w:cs="宋体"/>
          <w:bCs/>
          <w:color w:val="auto"/>
          <w:sz w:val="24"/>
          <w:szCs w:val="24"/>
          <w:highlight w:val="none"/>
          <w:u w:val="single"/>
        </w:rPr>
        <w:t>滁州市花园东路558号</w:t>
      </w:r>
    </w:p>
    <w:p w14:paraId="28606F4B">
      <w:pPr>
        <w:spacing w:line="360" w:lineRule="auto"/>
        <w:ind w:firstLine="435"/>
        <w:rPr>
          <w:rFonts w:hint="eastAsia"/>
          <w:color w:val="auto"/>
          <w:highlight w:val="none"/>
        </w:rPr>
      </w:pPr>
      <w:r>
        <w:rPr>
          <w:rFonts w:hint="eastAsia" w:ascii="宋体" w:hAnsi="宋体" w:eastAsia="宋体"/>
          <w:color w:val="auto"/>
          <w:sz w:val="24"/>
          <w:szCs w:val="18"/>
          <w:highlight w:val="none"/>
        </w:rPr>
        <w:t>联系人：</w:t>
      </w:r>
      <w:r>
        <w:rPr>
          <w:rFonts w:hint="eastAsia" w:ascii="宋体" w:hAnsi="宋体" w:eastAsia="宋体"/>
          <w:color w:val="auto"/>
          <w:sz w:val="24"/>
          <w:szCs w:val="18"/>
          <w:highlight w:val="none"/>
          <w:u w:val="single"/>
        </w:rPr>
        <w:t xml:space="preserve"> 雷宇</w:t>
      </w:r>
      <w:r>
        <w:rPr>
          <w:rFonts w:ascii="宋体" w:hAnsi="宋体" w:eastAsia="宋体"/>
          <w:color w:val="auto"/>
          <w:sz w:val="24"/>
          <w:szCs w:val="18"/>
          <w:highlight w:val="none"/>
          <w:u w:val="single"/>
        </w:rPr>
        <w:t xml:space="preserve"> </w:t>
      </w:r>
    </w:p>
    <w:p w14:paraId="70DFAAAA">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联系方式：</w:t>
      </w:r>
      <w:bookmarkEnd w:id="46"/>
      <w:bookmarkEnd w:id="47"/>
      <w:bookmarkEnd w:id="48"/>
      <w:bookmarkEnd w:id="49"/>
      <w:r>
        <w:rPr>
          <w:rFonts w:hint="eastAsia" w:ascii="宋体" w:hAnsi="宋体" w:eastAsia="宋体"/>
          <w:color w:val="auto"/>
          <w:sz w:val="24"/>
          <w:szCs w:val="18"/>
          <w:highlight w:val="none"/>
          <w:u w:val="single"/>
        </w:rPr>
        <w:t>13615502012</w:t>
      </w:r>
    </w:p>
    <w:p w14:paraId="487D232A">
      <w:pPr>
        <w:spacing w:line="360" w:lineRule="auto"/>
        <w:ind w:firstLine="435"/>
        <w:rPr>
          <w:rFonts w:hint="eastAsia" w:ascii="宋体" w:hAnsi="宋体" w:eastAsia="宋体"/>
          <w:color w:val="auto"/>
          <w:sz w:val="24"/>
          <w:szCs w:val="18"/>
          <w:highlight w:val="none"/>
        </w:rPr>
      </w:pPr>
      <w:r>
        <w:rPr>
          <w:rFonts w:ascii="宋体" w:hAnsi="宋体" w:eastAsia="宋体"/>
          <w:color w:val="auto"/>
          <w:sz w:val="24"/>
          <w:szCs w:val="18"/>
          <w:highlight w:val="none"/>
        </w:rPr>
        <w:br w:type="page"/>
      </w:r>
    </w:p>
    <w:p w14:paraId="72E0B18E">
      <w:pPr>
        <w:spacing w:line="360" w:lineRule="auto"/>
        <w:jc w:val="center"/>
        <w:outlineLvl w:val="0"/>
        <w:rPr>
          <w:rFonts w:hint="eastAsia" w:asciiTheme="minorEastAsia" w:hAnsiTheme="minorEastAsia" w:eastAsiaTheme="minorEastAsia"/>
          <w:b/>
          <w:color w:val="auto"/>
          <w:sz w:val="28"/>
          <w:highlight w:val="none"/>
        </w:rPr>
      </w:pPr>
      <w:bookmarkStart w:id="50" w:name="_Toc7162"/>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50"/>
    </w:p>
    <w:p w14:paraId="00225179">
      <w:pPr>
        <w:spacing w:line="360" w:lineRule="auto"/>
        <w:jc w:val="center"/>
        <w:outlineLvl w:val="1"/>
        <w:rPr>
          <w:rFonts w:hint="eastAsia" w:asciiTheme="minorEastAsia" w:hAnsiTheme="minorEastAsia" w:eastAsiaTheme="minorEastAsia"/>
          <w:b/>
          <w:color w:val="auto"/>
          <w:sz w:val="24"/>
          <w:highlight w:val="none"/>
        </w:rPr>
      </w:pPr>
      <w:bookmarkStart w:id="51" w:name="_Toc11709"/>
      <w:bookmarkStart w:id="52" w:name="_Toc11383"/>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51"/>
      <w:bookmarkEnd w:id="52"/>
    </w:p>
    <w:p w14:paraId="57FB9B44">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3"/>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2254"/>
        <w:gridCol w:w="6348"/>
      </w:tblGrid>
      <w:tr w14:paraId="0804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01C1FFB">
            <w:pPr>
              <w:pStyle w:val="41"/>
              <w:widowControl w:val="0"/>
              <w:spacing w:before="0" w:beforeAutospacing="0" w:after="0" w:afterAutospacing="0" w:line="360" w:lineRule="auto"/>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60" w:type="pct"/>
            <w:vAlign w:val="center"/>
          </w:tcPr>
          <w:p w14:paraId="42E32BA7">
            <w:pPr>
              <w:pStyle w:val="41"/>
              <w:widowControl w:val="0"/>
              <w:spacing w:before="0" w:beforeAutospacing="0" w:after="0" w:afterAutospacing="0" w:line="360" w:lineRule="auto"/>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456C63C0">
            <w:pPr>
              <w:pStyle w:val="41"/>
              <w:widowControl w:val="0"/>
              <w:spacing w:before="0" w:beforeAutospacing="0" w:after="0" w:afterAutospacing="0" w:line="360" w:lineRule="auto"/>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646E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82FDAB5">
            <w:pPr>
              <w:pStyle w:val="4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52382B73">
            <w:pPr>
              <w:pStyle w:val="41"/>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kern w:val="2"/>
                <w:sz w:val="24"/>
                <w:szCs w:val="22"/>
                <w:highlight w:val="none"/>
              </w:rPr>
              <w:t>现场考察或标前答疑会</w:t>
            </w:r>
          </w:p>
        </w:tc>
        <w:tc>
          <w:tcPr>
            <w:tcW w:w="3267" w:type="pct"/>
            <w:vAlign w:val="center"/>
          </w:tcPr>
          <w:p w14:paraId="46D73CA9">
            <w:pPr>
              <w:spacing w:line="360" w:lineRule="auto"/>
              <w:rPr>
                <w:rFonts w:hint="eastAsia"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4405237E">
            <w:pPr>
              <w:spacing w:line="360" w:lineRule="auto"/>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54ECA9CB">
            <w:pPr>
              <w:spacing w:line="360" w:lineRule="auto"/>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2A0B19D">
            <w:pPr>
              <w:spacing w:line="360" w:lineRule="auto"/>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697EA7F">
            <w:pPr>
              <w:spacing w:line="360" w:lineRule="auto"/>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2F2B9D81">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注：如供应商未参加采购人统一组织的现场考察或采购人统一召开的标前答疑会，视同放弃现场考察或标前答疑会，由此引起的一切责任由供应商自行承担。</w:t>
            </w:r>
          </w:p>
        </w:tc>
      </w:tr>
      <w:tr w14:paraId="4A22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8AB3399">
            <w:pPr>
              <w:pStyle w:val="4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60" w:type="pct"/>
            <w:vAlign w:val="center"/>
          </w:tcPr>
          <w:p w14:paraId="203BCE8C">
            <w:pPr>
              <w:pStyle w:val="41"/>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询问截止时间</w:t>
            </w:r>
          </w:p>
        </w:tc>
        <w:tc>
          <w:tcPr>
            <w:tcW w:w="3267" w:type="pct"/>
            <w:vAlign w:val="center"/>
          </w:tcPr>
          <w:p w14:paraId="5D0E587D">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eastAsia="zh-CN"/>
              </w:rPr>
              <w:t>2025</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7 </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27</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17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00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688A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2" w:type="dxa"/>
            <w:vAlign w:val="center"/>
          </w:tcPr>
          <w:p w14:paraId="35EA575E">
            <w:pPr>
              <w:pStyle w:val="4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7.1</w:t>
            </w:r>
          </w:p>
        </w:tc>
        <w:tc>
          <w:tcPr>
            <w:tcW w:w="1160" w:type="pct"/>
            <w:vAlign w:val="center"/>
          </w:tcPr>
          <w:p w14:paraId="6033F992">
            <w:pPr>
              <w:pStyle w:val="41"/>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43DBFD2D">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  个包</w:t>
            </w:r>
          </w:p>
          <w:p w14:paraId="7D64D058">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供应商参加多个包</w:t>
            </w:r>
            <w:r>
              <w:rPr>
                <w:rFonts w:hint="eastAsia" w:ascii="宋体" w:hAnsi="宋体" w:eastAsia="宋体"/>
                <w:b w:val="0"/>
                <w:bCs w:val="0"/>
                <w:color w:val="auto"/>
                <w:sz w:val="24"/>
                <w:szCs w:val="24"/>
                <w:highlight w:val="none"/>
                <w:lang w:eastAsia="zh-CN"/>
              </w:rPr>
              <w:t>谈判</w:t>
            </w:r>
            <w:r>
              <w:rPr>
                <w:rFonts w:hint="eastAsia" w:ascii="宋体" w:hAnsi="宋体" w:eastAsia="宋体"/>
                <w:b w:val="0"/>
                <w:bCs w:val="0"/>
                <w:color w:val="auto"/>
                <w:sz w:val="24"/>
                <w:szCs w:val="24"/>
                <w:highlight w:val="none"/>
              </w:rPr>
              <w:t>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15BE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2" w:type="dxa"/>
            <w:vAlign w:val="center"/>
          </w:tcPr>
          <w:p w14:paraId="5549283E">
            <w:pPr>
              <w:pStyle w:val="4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10.1</w:t>
            </w:r>
          </w:p>
        </w:tc>
        <w:tc>
          <w:tcPr>
            <w:tcW w:w="1160" w:type="pct"/>
            <w:vAlign w:val="center"/>
          </w:tcPr>
          <w:p w14:paraId="42FFECFD">
            <w:pPr>
              <w:pStyle w:val="41"/>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lang w:eastAsia="zh-CN"/>
              </w:rPr>
              <w:t>谈判</w:t>
            </w:r>
            <w:r>
              <w:rPr>
                <w:rFonts w:hint="eastAsia" w:ascii="宋体" w:hAnsi="宋体" w:eastAsia="宋体"/>
                <w:b w:val="0"/>
                <w:color w:val="auto"/>
                <w:sz w:val="24"/>
                <w:highlight w:val="none"/>
              </w:rPr>
              <w:t>保证金</w:t>
            </w:r>
          </w:p>
        </w:tc>
        <w:tc>
          <w:tcPr>
            <w:tcW w:w="3267" w:type="pct"/>
            <w:vAlign w:val="center"/>
          </w:tcPr>
          <w:p w14:paraId="751D0D60">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67DE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E16FD46">
            <w:pPr>
              <w:pStyle w:val="4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60" w:type="pct"/>
            <w:vAlign w:val="center"/>
          </w:tcPr>
          <w:p w14:paraId="690330E2">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eastAsia="zh-CN"/>
              </w:rPr>
              <w:t>谈判</w:t>
            </w:r>
            <w:r>
              <w:rPr>
                <w:rFonts w:hint="eastAsia" w:ascii="宋体" w:hAnsi="宋体" w:eastAsia="宋体"/>
                <w:b w:val="0"/>
                <w:color w:val="auto"/>
                <w:sz w:val="24"/>
                <w:highlight w:val="none"/>
              </w:rPr>
              <w:t>有效期</w:t>
            </w:r>
          </w:p>
        </w:tc>
        <w:tc>
          <w:tcPr>
            <w:tcW w:w="3267" w:type="pct"/>
            <w:vAlign w:val="center"/>
          </w:tcPr>
          <w:p w14:paraId="7177E694">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90 </w:t>
            </w:r>
            <w:r>
              <w:rPr>
                <w:rFonts w:hint="eastAsia" w:ascii="宋体" w:hAnsi="宋体" w:eastAsia="宋体"/>
                <w:b w:val="0"/>
                <w:color w:val="auto"/>
                <w:sz w:val="24"/>
                <w:highlight w:val="none"/>
              </w:rPr>
              <w:t>日历日</w:t>
            </w:r>
          </w:p>
        </w:tc>
      </w:tr>
      <w:tr w14:paraId="3DD8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AF20FE3">
            <w:pPr>
              <w:pStyle w:val="4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12</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60" w:type="pct"/>
            <w:vAlign w:val="center"/>
          </w:tcPr>
          <w:p w14:paraId="4C9E85C5">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响应文件份数</w:t>
            </w:r>
          </w:p>
        </w:tc>
        <w:tc>
          <w:tcPr>
            <w:tcW w:w="3267" w:type="pct"/>
            <w:vAlign w:val="center"/>
          </w:tcPr>
          <w:p w14:paraId="63557344">
            <w:pPr>
              <w:pStyle w:val="41"/>
              <w:widowControl w:val="0"/>
              <w:spacing w:before="0" w:beforeAutospacing="0" w:after="0" w:afterAutospacing="0" w:line="360" w:lineRule="auto"/>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1正2副，密封在一个密封袋中</w:t>
            </w:r>
          </w:p>
          <w:p w14:paraId="06952A1B">
            <w:pPr>
              <w:keepNext w:val="0"/>
              <w:keepLines w:val="0"/>
              <w:pageBreakBefore w:val="0"/>
              <w:widowControl w:val="0"/>
              <w:numPr>
                <w:ilvl w:val="0"/>
                <w:numId w:val="0"/>
              </w:numPr>
              <w:kinsoku/>
              <w:wordWrap w:val="0"/>
              <w:overflowPunct/>
              <w:topLinePunct w:val="0"/>
              <w:autoSpaceDE/>
              <w:autoSpaceDN/>
              <w:bidi w:val="0"/>
              <w:adjustRightInd/>
              <w:spacing w:line="360" w:lineRule="auto"/>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本项目采用不见面开标：投标文件邮寄或现场递交,各投标人无须安排人员到招标文件中规定的开标现场参与开标活动。</w:t>
            </w:r>
          </w:p>
          <w:p w14:paraId="0D3039B9">
            <w:pPr>
              <w:pStyle w:val="41"/>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u w:val="single"/>
              </w:rPr>
              <w:t>响应文件递交方式：现场递交或邮寄方式递交；供应商采用邮寄方式的，请供应商按文件要求装订</w:t>
            </w:r>
            <w:r>
              <w:rPr>
                <w:rFonts w:hint="eastAsia" w:ascii="宋体" w:hAnsi="宋体" w:eastAsia="宋体"/>
                <w:b w:val="0"/>
                <w:color w:val="auto"/>
                <w:sz w:val="24"/>
                <w:highlight w:val="none"/>
                <w:u w:val="single"/>
                <w:lang w:val="en-US" w:eastAsia="zh-CN"/>
              </w:rPr>
              <w:t>响应</w:t>
            </w:r>
            <w:r>
              <w:rPr>
                <w:rFonts w:hint="eastAsia" w:ascii="宋体" w:hAnsi="宋体" w:eastAsia="宋体"/>
                <w:b w:val="0"/>
                <w:color w:val="auto"/>
                <w:sz w:val="24"/>
                <w:highlight w:val="none"/>
                <w:u w:val="single"/>
              </w:rPr>
              <w:t>文件，并确保密封完整。其邮寄地址为</w:t>
            </w:r>
            <w:r>
              <w:rPr>
                <w:rFonts w:hint="eastAsia" w:ascii="宋体" w:hAnsi="宋体" w:eastAsia="宋体" w:cs="@仿宋_GB2312"/>
                <w:b w:val="0"/>
                <w:bCs/>
                <w:color w:val="auto"/>
                <w:kern w:val="0"/>
                <w:sz w:val="24"/>
                <w:szCs w:val="28"/>
                <w:highlight w:val="none"/>
                <w:u w:val="single"/>
                <w:lang w:val="en-US" w:eastAsia="zh-CN" w:bidi="ar-SA"/>
              </w:rPr>
              <w:t>滁州市南谯区花园东路558号销巴商务中心二楼东</w:t>
            </w:r>
            <w:r>
              <w:rPr>
                <w:rFonts w:hint="eastAsia" w:ascii="宋体" w:hAnsi="宋体" w:eastAsia="宋体"/>
                <w:b w:val="0"/>
                <w:color w:val="auto"/>
                <w:sz w:val="24"/>
                <w:highlight w:val="none"/>
                <w:u w:val="single"/>
              </w:rPr>
              <w:t>，接收人及联系方式为：</w:t>
            </w:r>
            <w:r>
              <w:rPr>
                <w:rFonts w:hint="eastAsia" w:ascii="宋体" w:hAnsi="宋体" w:eastAsia="宋体"/>
                <w:b w:val="0"/>
                <w:color w:val="auto"/>
                <w:sz w:val="24"/>
                <w:highlight w:val="none"/>
                <w:u w:val="single"/>
                <w:lang w:val="en-US" w:eastAsia="zh-CN"/>
              </w:rPr>
              <w:t>雷工13615502012</w:t>
            </w:r>
            <w:r>
              <w:rPr>
                <w:rFonts w:hint="eastAsia" w:ascii="宋体" w:hAnsi="宋体" w:eastAsia="宋体"/>
                <w:b w:val="0"/>
                <w:color w:val="auto"/>
                <w:sz w:val="24"/>
                <w:highlight w:val="none"/>
                <w:u w:val="single"/>
              </w:rPr>
              <w:t>。采用此方式的各供应商自行承担邮寄风险，拒绝到付，具体时间以接收人接收到邮件的时间为准(接收截止时间：2025年</w:t>
            </w:r>
            <w:r>
              <w:rPr>
                <w:rFonts w:hint="eastAsia" w:ascii="宋体" w:hAnsi="宋体" w:eastAsia="宋体"/>
                <w:b w:val="0"/>
                <w:color w:val="auto"/>
                <w:sz w:val="24"/>
                <w:highlight w:val="none"/>
                <w:u w:val="single"/>
                <w:lang w:val="en-US" w:eastAsia="zh-CN"/>
              </w:rPr>
              <w:t>7</w:t>
            </w:r>
            <w:r>
              <w:rPr>
                <w:rFonts w:hint="eastAsia" w:ascii="宋体" w:hAnsi="宋体" w:eastAsia="宋体"/>
                <w:b w:val="0"/>
                <w:color w:val="auto"/>
                <w:sz w:val="24"/>
                <w:highlight w:val="none"/>
                <w:u w:val="single"/>
              </w:rPr>
              <w:t>月</w:t>
            </w:r>
            <w:r>
              <w:rPr>
                <w:rFonts w:hint="eastAsia" w:ascii="宋体" w:hAnsi="宋体" w:eastAsia="宋体"/>
                <w:b w:val="0"/>
                <w:color w:val="auto"/>
                <w:sz w:val="24"/>
                <w:highlight w:val="none"/>
                <w:u w:val="single"/>
                <w:lang w:val="en-US" w:eastAsia="zh-CN"/>
              </w:rPr>
              <w:t>29</w:t>
            </w:r>
            <w:r>
              <w:rPr>
                <w:rFonts w:hint="eastAsia" w:ascii="宋体" w:hAnsi="宋体" w:eastAsia="宋体"/>
                <w:b w:val="0"/>
                <w:color w:val="auto"/>
                <w:sz w:val="24"/>
                <w:highlight w:val="none"/>
                <w:u w:val="single"/>
              </w:rPr>
              <w:t>日1</w:t>
            </w:r>
            <w:r>
              <w:rPr>
                <w:rFonts w:hint="eastAsia" w:ascii="宋体" w:hAnsi="宋体" w:eastAsia="宋体"/>
                <w:b w:val="0"/>
                <w:color w:val="auto"/>
                <w:sz w:val="24"/>
                <w:highlight w:val="none"/>
                <w:u w:val="single"/>
                <w:lang w:val="en-US" w:eastAsia="zh-CN"/>
              </w:rPr>
              <w:t>2</w:t>
            </w:r>
            <w:r>
              <w:rPr>
                <w:rFonts w:hint="eastAsia" w:ascii="宋体" w:hAnsi="宋体" w:eastAsia="宋体"/>
                <w:b w:val="0"/>
                <w:color w:val="auto"/>
                <w:sz w:val="24"/>
                <w:highlight w:val="none"/>
                <w:u w:val="single"/>
              </w:rPr>
              <w:t>时00分前）逾期送达的将不接收。</w:t>
            </w:r>
          </w:p>
          <w:p w14:paraId="1A507DCE">
            <w:pPr>
              <w:widowControl/>
              <w:spacing w:line="360" w:lineRule="auto"/>
              <w:jc w:val="left"/>
              <w:rPr>
                <w:rFonts w:hint="eastAsia" w:ascii="宋体" w:hAnsi="宋体" w:eastAsia="宋体"/>
                <w:b w:val="0"/>
                <w:color w:val="auto"/>
                <w:sz w:val="24"/>
                <w:highlight w:val="none"/>
                <w:u w:val="single"/>
              </w:rPr>
            </w:pPr>
            <w:r>
              <w:rPr>
                <w:rFonts w:hint="eastAsia" w:ascii="宋体" w:hAnsi="宋体" w:eastAsia="宋体" w:cs="@仿宋_GB2312"/>
                <w:b w:val="0"/>
                <w:bCs/>
                <w:color w:val="auto"/>
                <w:kern w:val="0"/>
                <w:sz w:val="24"/>
                <w:szCs w:val="28"/>
                <w:highlight w:val="none"/>
                <w:lang w:val="en-US" w:eastAsia="zh-CN" w:bidi="ar-SA"/>
              </w:rPr>
              <w:t>为保证公开、公平、公正，至响应文件递交截止时间止，由招标人代表见证下，进行响应文件密封情况的审查，无任何问题后开启响应文件。</w:t>
            </w:r>
          </w:p>
        </w:tc>
      </w:tr>
      <w:tr w14:paraId="0B6C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6AB356E">
            <w:pPr>
              <w:pStyle w:val="4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14.2</w:t>
            </w:r>
          </w:p>
        </w:tc>
        <w:tc>
          <w:tcPr>
            <w:tcW w:w="1160" w:type="pct"/>
            <w:vAlign w:val="center"/>
          </w:tcPr>
          <w:p w14:paraId="5F761317">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7299F88D">
            <w:pPr>
              <w:pStyle w:val="41"/>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最低评标价法</w:t>
            </w:r>
          </w:p>
        </w:tc>
      </w:tr>
      <w:tr w14:paraId="6C72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D00631B">
            <w:pPr>
              <w:pStyle w:val="4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17.4</w:t>
            </w:r>
          </w:p>
        </w:tc>
        <w:tc>
          <w:tcPr>
            <w:tcW w:w="1160" w:type="pct"/>
            <w:vAlign w:val="center"/>
          </w:tcPr>
          <w:p w14:paraId="54DFFE8D">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最后报价扣除</w:t>
            </w:r>
          </w:p>
          <w:p w14:paraId="70E701BD">
            <w:pPr>
              <w:pStyle w:val="41"/>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i/>
                <w:color w:val="auto"/>
                <w:sz w:val="24"/>
                <w:highlight w:val="none"/>
              </w:rPr>
              <w:t>（非专门面向中小企业采购项目适用）</w:t>
            </w:r>
            <w:r>
              <w:rPr>
                <w:rFonts w:hint="eastAsia" w:ascii="宋体" w:hAnsi="宋体" w:eastAsia="宋体"/>
                <w:b w:val="0"/>
                <w:i w:val="0"/>
                <w:iCs/>
                <w:color w:val="auto"/>
                <w:sz w:val="24"/>
                <w:highlight w:val="none"/>
                <w:lang w:eastAsia="zh-CN"/>
              </w:rPr>
              <w:t>（</w:t>
            </w:r>
            <w:r>
              <w:rPr>
                <w:rFonts w:hint="eastAsia" w:ascii="宋体" w:hAnsi="宋体" w:eastAsia="宋体"/>
                <w:b w:val="0"/>
                <w:i w:val="0"/>
                <w:iCs/>
                <w:color w:val="auto"/>
                <w:sz w:val="24"/>
                <w:highlight w:val="none"/>
                <w:lang w:val="en-US" w:eastAsia="zh-CN"/>
              </w:rPr>
              <w:t>本项目不采用</w:t>
            </w:r>
            <w:r>
              <w:rPr>
                <w:rFonts w:hint="eastAsia" w:ascii="宋体" w:hAnsi="宋体" w:eastAsia="宋体"/>
                <w:b w:val="0"/>
                <w:i w:val="0"/>
                <w:iCs/>
                <w:color w:val="auto"/>
                <w:sz w:val="24"/>
                <w:highlight w:val="none"/>
                <w:lang w:eastAsia="zh-CN"/>
              </w:rPr>
              <w:t>）</w:t>
            </w:r>
          </w:p>
        </w:tc>
        <w:tc>
          <w:tcPr>
            <w:tcW w:w="3267" w:type="pct"/>
            <w:vAlign w:val="center"/>
          </w:tcPr>
          <w:p w14:paraId="32547628">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 xml:space="preserve">     /   </w:t>
            </w:r>
            <w:r>
              <w:rPr>
                <w:rFonts w:hint="eastAsia" w:ascii="宋体" w:hAnsi="宋体" w:eastAsia="宋体"/>
                <w:b w:val="0"/>
                <w:color w:val="auto"/>
                <w:sz w:val="24"/>
                <w:highlight w:val="none"/>
              </w:rPr>
              <w:t>。</w:t>
            </w:r>
          </w:p>
          <w:p w14:paraId="44FC9B47">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1B37A551">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43DB999B">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 xml:space="preserve">    /    </w:t>
            </w:r>
            <w:r>
              <w:rPr>
                <w:rFonts w:hint="eastAsia" w:ascii="宋体" w:hAnsi="宋体" w:eastAsia="宋体"/>
                <w:b w:val="0"/>
                <w:color w:val="auto"/>
                <w:sz w:val="24"/>
                <w:highlight w:val="none"/>
              </w:rPr>
              <w:t>。</w:t>
            </w:r>
          </w:p>
          <w:p w14:paraId="788C31A0">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0B83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Merge w:val="restart"/>
            <w:vAlign w:val="center"/>
          </w:tcPr>
          <w:p w14:paraId="5AD8AEDB">
            <w:pPr>
              <w:pStyle w:val="4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19</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60" w:type="pct"/>
            <w:vMerge w:val="restart"/>
            <w:vAlign w:val="center"/>
          </w:tcPr>
          <w:p w14:paraId="28B0FAF9">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267" w:type="pct"/>
            <w:vAlign w:val="center"/>
          </w:tcPr>
          <w:p w14:paraId="65A3B927">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eastAsia="zh-CN"/>
              </w:rPr>
              <w:t>谈判</w:t>
            </w:r>
            <w:r>
              <w:rPr>
                <w:rFonts w:hint="eastAsia" w:ascii="宋体" w:hAnsi="宋体" w:eastAsia="宋体"/>
                <w:b w:val="0"/>
                <w:color w:val="auto"/>
                <w:sz w:val="24"/>
                <w:highlight w:val="none"/>
              </w:rPr>
              <w:t>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p>
          <w:p w14:paraId="0A09C274">
            <w:pPr>
              <w:pStyle w:val="41"/>
              <w:widowControl w:val="0"/>
              <w:spacing w:before="0" w:beforeAutospacing="0" w:after="0" w:afterAutospacing="0" w:line="360" w:lineRule="auto"/>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注：法律、法规另有规定的，从其规定</w:t>
            </w:r>
          </w:p>
        </w:tc>
      </w:tr>
      <w:tr w14:paraId="434A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544A4354">
            <w:pPr>
              <w:pStyle w:val="4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rPr>
            </w:pPr>
          </w:p>
        </w:tc>
        <w:tc>
          <w:tcPr>
            <w:tcW w:w="1160" w:type="pct"/>
            <w:vMerge w:val="continue"/>
            <w:vAlign w:val="center"/>
          </w:tcPr>
          <w:p w14:paraId="07BA86C0">
            <w:pPr>
              <w:pStyle w:val="41"/>
              <w:widowControl w:val="0"/>
              <w:spacing w:before="0" w:beforeAutospacing="0" w:after="0" w:afterAutospacing="0" w:line="360" w:lineRule="auto"/>
              <w:jc w:val="both"/>
              <w:rPr>
                <w:rFonts w:hint="eastAsia" w:ascii="宋体" w:hAnsi="宋体" w:eastAsia="宋体"/>
                <w:b w:val="0"/>
                <w:color w:val="auto"/>
                <w:sz w:val="24"/>
                <w:highlight w:val="none"/>
              </w:rPr>
            </w:pPr>
          </w:p>
        </w:tc>
        <w:tc>
          <w:tcPr>
            <w:tcW w:w="3267" w:type="pct"/>
            <w:vAlign w:val="center"/>
          </w:tcPr>
          <w:p w14:paraId="790E60BE">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2E86B05C">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sym w:font="Wingdings" w:char="00FE"/>
            </w:r>
            <w:r>
              <w:rPr>
                <w:rFonts w:hint="eastAsia" w:ascii="宋体" w:hAnsi="宋体" w:eastAsia="宋体"/>
                <w:b w:val="0"/>
                <w:color w:val="auto"/>
                <w:sz w:val="24"/>
                <w:highlight w:val="none"/>
              </w:rPr>
              <w:t>采购人委托</w:t>
            </w:r>
            <w:r>
              <w:rPr>
                <w:rFonts w:hint="eastAsia" w:ascii="宋体" w:hAnsi="宋体" w:eastAsia="宋体"/>
                <w:b w:val="0"/>
                <w:color w:val="auto"/>
                <w:sz w:val="24"/>
                <w:highlight w:val="none"/>
                <w:lang w:eastAsia="zh-CN"/>
              </w:rPr>
              <w:t>谈判</w:t>
            </w:r>
            <w:r>
              <w:rPr>
                <w:rFonts w:hint="eastAsia" w:ascii="宋体" w:hAnsi="宋体" w:eastAsia="宋体"/>
                <w:b w:val="0"/>
                <w:color w:val="auto"/>
                <w:sz w:val="24"/>
                <w:highlight w:val="none"/>
              </w:rPr>
              <w:t xml:space="preserve">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采购人确定</w:t>
            </w:r>
          </w:p>
        </w:tc>
      </w:tr>
      <w:tr w14:paraId="12EA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25266CA">
            <w:pPr>
              <w:pStyle w:val="4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6EB1D3C0">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3267" w:type="pct"/>
            <w:vAlign w:val="center"/>
          </w:tcPr>
          <w:p w14:paraId="527D1E30">
            <w:pPr>
              <w:pStyle w:val="41"/>
              <w:widowControl w:val="0"/>
              <w:spacing w:before="0" w:beforeAutospacing="0" w:after="0" w:afterAutospacing="0" w:line="360" w:lineRule="auto"/>
              <w:jc w:val="both"/>
              <w:rPr>
                <w:rFonts w:hint="eastAsia" w:ascii="宋体" w:hAnsi="宋体" w:eastAsia="宋体"/>
                <w:b w:val="0"/>
                <w:bCs w:val="0"/>
                <w:color w:val="auto"/>
                <w:sz w:val="24"/>
                <w:szCs w:val="24"/>
                <w:highlight w:val="none"/>
                <w:lang w:eastAsia="zh-CN"/>
              </w:rPr>
            </w:pPr>
            <w:r>
              <w:rPr>
                <w:rFonts w:hint="eastAsia" w:ascii="宋体" w:hAnsi="宋体" w:eastAsia="宋体"/>
                <w:b w:val="0"/>
                <w:color w:val="auto"/>
                <w:sz w:val="24"/>
                <w:highlight w:val="none"/>
                <w:lang w:val="en-US" w:eastAsia="zh-CN"/>
              </w:rPr>
              <w:t>/</w:t>
            </w:r>
          </w:p>
        </w:tc>
      </w:tr>
      <w:tr w14:paraId="6AFB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5F20AB1">
            <w:pPr>
              <w:pStyle w:val="4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23</w:t>
            </w:r>
            <w:r>
              <w:rPr>
                <w:rFonts w:ascii="宋体" w:hAnsi="宋体" w:eastAsia="宋体"/>
                <w:bCs/>
                <w:color w:val="auto"/>
                <w:kern w:val="2"/>
                <w:highlight w:val="none"/>
              </w:rPr>
              <w:t>.1</w:t>
            </w:r>
          </w:p>
        </w:tc>
        <w:tc>
          <w:tcPr>
            <w:tcW w:w="1160" w:type="pct"/>
            <w:vAlign w:val="center"/>
          </w:tcPr>
          <w:p w14:paraId="4ACE6E7B">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1ED9F24B">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color w:val="auto"/>
                <w:sz w:val="24"/>
                <w:highlight w:val="none"/>
              </w:rPr>
              <w:t>数据电文</w:t>
            </w:r>
          </w:p>
        </w:tc>
      </w:tr>
      <w:tr w14:paraId="6857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810B590">
            <w:pPr>
              <w:pStyle w:val="4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60" w:type="pct"/>
            <w:vAlign w:val="center"/>
          </w:tcPr>
          <w:p w14:paraId="1E2A22A3">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w:t>
            </w:r>
            <w:r>
              <w:rPr>
                <w:rFonts w:hint="eastAsia" w:ascii="宋体" w:hAnsi="宋体" w:eastAsia="宋体"/>
                <w:b w:val="0"/>
                <w:color w:val="auto"/>
                <w:sz w:val="24"/>
                <w:highlight w:val="none"/>
                <w:lang w:eastAsia="zh-CN"/>
              </w:rPr>
              <w:t>谈判</w:t>
            </w:r>
            <w:r>
              <w:rPr>
                <w:rFonts w:hint="eastAsia" w:ascii="宋体" w:hAnsi="宋体" w:eastAsia="宋体"/>
                <w:b w:val="0"/>
                <w:color w:val="auto"/>
                <w:sz w:val="24"/>
                <w:highlight w:val="none"/>
              </w:rPr>
              <w:t>结果的形式</w:t>
            </w:r>
          </w:p>
        </w:tc>
        <w:tc>
          <w:tcPr>
            <w:tcW w:w="3267" w:type="pct"/>
            <w:vAlign w:val="center"/>
          </w:tcPr>
          <w:p w14:paraId="7485AD87">
            <w:pPr>
              <w:pStyle w:val="41"/>
              <w:widowControl w:val="0"/>
              <w:spacing w:before="0" w:beforeAutospacing="0" w:after="0" w:afterAutospacing="0" w:line="360" w:lineRule="auto"/>
              <w:jc w:val="both"/>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rPr>
              <w:t>交易</w:t>
            </w:r>
            <w:r>
              <w:rPr>
                <w:rFonts w:hint="eastAsia" w:ascii="宋体" w:hAnsi="宋体" w:eastAsia="宋体"/>
                <w:b w:val="0"/>
                <w:bCs w:val="0"/>
                <w:color w:val="auto"/>
                <w:sz w:val="24"/>
                <w:szCs w:val="24"/>
                <w:highlight w:val="none"/>
              </w:rPr>
              <w:t>系统查看</w:t>
            </w:r>
          </w:p>
          <w:p w14:paraId="3DD230AA">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w:t>
            </w:r>
            <w:r>
              <w:rPr>
                <w:rFonts w:hint="eastAsia" w:ascii="宋体" w:hAnsi="宋体" w:eastAsia="宋体"/>
                <w:b w:val="0"/>
                <w:color w:val="auto"/>
                <w:sz w:val="24"/>
                <w:highlight w:val="none"/>
                <w:lang w:eastAsia="zh-CN"/>
              </w:rPr>
              <w:t>谈判</w:t>
            </w:r>
            <w:r>
              <w:rPr>
                <w:rFonts w:hint="eastAsia" w:ascii="宋体" w:hAnsi="宋体" w:eastAsia="宋体"/>
                <w:b w:val="0"/>
                <w:color w:val="auto"/>
                <w:sz w:val="24"/>
                <w:highlight w:val="none"/>
              </w:rPr>
              <w:t>现场告知,网上公示</w:t>
            </w:r>
          </w:p>
        </w:tc>
      </w:tr>
      <w:tr w14:paraId="124A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6A06835">
            <w:pPr>
              <w:pStyle w:val="4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60" w:type="pct"/>
            <w:vAlign w:val="center"/>
          </w:tcPr>
          <w:p w14:paraId="5FC8A555">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7" w:type="pct"/>
          </w:tcPr>
          <w:p w14:paraId="1C7D3B9F">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3F5D08F0">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22E13714">
            <w:pPr>
              <w:spacing w:line="360" w:lineRule="auto"/>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6432A27A">
            <w:pPr>
              <w:spacing w:line="360" w:lineRule="auto"/>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7CCFA3E">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AB9C617">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248AE0E5">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7CFF088D">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w:t>
            </w:r>
          </w:p>
          <w:p w14:paraId="60A554EA">
            <w:pPr>
              <w:spacing w:line="360" w:lineRule="auto"/>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466E91BE">
            <w:pPr>
              <w:spacing w:line="360" w:lineRule="auto"/>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5215D12">
            <w:pPr>
              <w:spacing w:line="360" w:lineRule="auto"/>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6DA181CD">
            <w:pPr>
              <w:pStyle w:val="41"/>
              <w:widowControl w:val="0"/>
              <w:spacing w:before="0" w:beforeAutospacing="0" w:after="0" w:afterAutospacing="0" w:line="360" w:lineRule="auto"/>
              <w:jc w:val="both"/>
              <w:rPr>
                <w:rFonts w:hint="eastAsia" w:ascii="宋体" w:hAnsi="宋体" w:eastAsia="宋体"/>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6D10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9A785EC">
            <w:pPr>
              <w:pStyle w:val="4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60" w:type="pct"/>
            <w:vAlign w:val="center"/>
          </w:tcPr>
          <w:p w14:paraId="57CE7EE8">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67" w:type="pct"/>
            <w:vAlign w:val="center"/>
          </w:tcPr>
          <w:p w14:paraId="5768AC0B">
            <w:pPr>
              <w:spacing w:before="39" w:line="360" w:lineRule="auto"/>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rPr>
              <w:t>成交供应商</w:t>
            </w:r>
          </w:p>
          <w:p w14:paraId="1E4282A6">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w:t>
            </w:r>
            <w:r>
              <w:rPr>
                <w:rFonts w:hint="eastAsia" w:ascii="宋体" w:hAnsi="宋体" w:eastAsia="宋体"/>
                <w:b w:val="0"/>
                <w:bCs w:val="0"/>
                <w:color w:val="auto"/>
                <w:sz w:val="24"/>
                <w:highlight w:val="none"/>
                <w:lang w:val="en-US" w:eastAsia="zh-CN"/>
              </w:rPr>
              <w:t>2</w:t>
            </w:r>
            <w:r>
              <w:rPr>
                <w:rFonts w:hint="eastAsia" w:ascii="宋体" w:hAnsi="宋体" w:eastAsia="宋体"/>
                <w:b w:val="0"/>
                <w:bCs w:val="0"/>
                <w:color w:val="auto"/>
                <w:sz w:val="24"/>
                <w:highlight w:val="none"/>
              </w:rPr>
              <w:t>）</w:t>
            </w:r>
            <w:r>
              <w:rPr>
                <w:rFonts w:ascii="宋体" w:hAnsi="宋体" w:eastAsia="宋体"/>
                <w:b w:val="0"/>
                <w:color w:val="auto"/>
                <w:sz w:val="24"/>
                <w:highlight w:val="none"/>
              </w:rPr>
              <w:t>收费标准：</w:t>
            </w:r>
            <w:r>
              <w:rPr>
                <w:rFonts w:hint="eastAsia" w:ascii="宋体" w:hAnsi="宋体" w:eastAsia="宋体" w:cs="宋体"/>
                <w:b w:val="0"/>
                <w:bCs w:val="0"/>
                <w:color w:val="auto"/>
                <w:sz w:val="24"/>
                <w:szCs w:val="24"/>
                <w:highlight w:val="none"/>
                <w:u w:val="single"/>
                <w:lang w:val="en-US" w:eastAsia="zh-CN"/>
              </w:rPr>
              <w:t>3000.00元</w:t>
            </w:r>
            <w:r>
              <w:rPr>
                <w:rFonts w:hint="eastAsia" w:ascii="宋体" w:hAnsi="宋体" w:eastAsia="宋体" w:cs="宋体"/>
                <w:b w:val="0"/>
                <w:bCs w:val="0"/>
                <w:color w:val="auto"/>
                <w:sz w:val="24"/>
                <w:szCs w:val="24"/>
                <w:highlight w:val="none"/>
                <w:u w:val="single"/>
              </w:rPr>
              <w:t>，专家</w:t>
            </w:r>
            <w:r>
              <w:rPr>
                <w:rFonts w:hint="eastAsia" w:ascii="宋体" w:hAnsi="宋体" w:eastAsia="宋体" w:cs="宋体"/>
                <w:b w:val="0"/>
                <w:bCs w:val="0"/>
                <w:color w:val="auto"/>
                <w:sz w:val="24"/>
                <w:szCs w:val="24"/>
                <w:highlight w:val="none"/>
                <w:u w:val="single"/>
                <w:lang w:val="en-US" w:eastAsia="zh-CN"/>
              </w:rPr>
              <w:t>推荐及</w:t>
            </w:r>
            <w:r>
              <w:rPr>
                <w:rFonts w:hint="eastAsia" w:ascii="宋体" w:hAnsi="宋体" w:eastAsia="宋体" w:cs="宋体"/>
                <w:b w:val="0"/>
                <w:bCs w:val="0"/>
                <w:color w:val="auto"/>
                <w:sz w:val="24"/>
                <w:szCs w:val="24"/>
                <w:highlight w:val="none"/>
                <w:u w:val="single"/>
              </w:rPr>
              <w:t>评标费按实际发生支付。</w:t>
            </w:r>
          </w:p>
        </w:tc>
      </w:tr>
      <w:tr w14:paraId="091C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ECEA1A3">
            <w:pPr>
              <w:pStyle w:val="4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27.1</w:t>
            </w:r>
          </w:p>
        </w:tc>
        <w:tc>
          <w:tcPr>
            <w:tcW w:w="1160" w:type="pct"/>
            <w:vAlign w:val="center"/>
          </w:tcPr>
          <w:p w14:paraId="2AEA5689">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w:t>
            </w:r>
          </w:p>
        </w:tc>
        <w:tc>
          <w:tcPr>
            <w:tcW w:w="3267" w:type="pct"/>
            <w:vAlign w:val="center"/>
          </w:tcPr>
          <w:p w14:paraId="263A9A93">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采购人与成交供应商应当自发出成交通知书之日起7个工作日内签订合同。</w:t>
            </w:r>
          </w:p>
        </w:tc>
      </w:tr>
      <w:tr w14:paraId="63C0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8A9A287">
            <w:pPr>
              <w:pStyle w:val="4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29.3</w:t>
            </w:r>
          </w:p>
        </w:tc>
        <w:tc>
          <w:tcPr>
            <w:tcW w:w="1160" w:type="pct"/>
            <w:vAlign w:val="center"/>
          </w:tcPr>
          <w:p w14:paraId="27DAA003">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67" w:type="pct"/>
            <w:vAlign w:val="center"/>
          </w:tcPr>
          <w:p w14:paraId="59B42C04">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 xml:space="preserve"> 如供应商对</w:t>
            </w:r>
            <w:r>
              <w:rPr>
                <w:rFonts w:hint="eastAsia" w:ascii="宋体" w:hAnsi="宋体" w:eastAsia="宋体"/>
                <w:b w:val="0"/>
                <w:color w:val="auto"/>
                <w:sz w:val="24"/>
                <w:highlight w:val="none"/>
                <w:u w:val="single"/>
                <w:lang w:eastAsia="zh-CN"/>
              </w:rPr>
              <w:t>谈判</w:t>
            </w:r>
            <w:r>
              <w:rPr>
                <w:rFonts w:hint="eastAsia" w:ascii="宋体" w:hAnsi="宋体" w:eastAsia="宋体"/>
                <w:b w:val="0"/>
                <w:color w:val="auto"/>
                <w:sz w:val="24"/>
                <w:highlight w:val="none"/>
                <w:u w:val="single"/>
              </w:rPr>
              <w:t xml:space="preserve">文件有质疑，依据中华人民共和国财政部令第 94 号《政府采购质疑和投诉办法》规定提出质疑； </w:t>
            </w:r>
          </w:p>
          <w:p w14:paraId="54F6BC17">
            <w:pPr>
              <w:pStyle w:val="41"/>
              <w:widowControl w:val="0"/>
              <w:spacing w:before="0" w:beforeAutospacing="0" w:after="0" w:afterAutospacing="0" w:line="360" w:lineRule="auto"/>
              <w:jc w:val="both"/>
              <w:rPr>
                <w:rFonts w:hint="eastAsia" w:ascii="宋体" w:hAnsi="宋体" w:eastAsia="宋体"/>
                <w:b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eastAsia="zh-CN"/>
              </w:rPr>
              <w:t>滁州市机电工程学校</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u w:val="single"/>
                <w:lang w:eastAsia="zh-CN"/>
              </w:rPr>
              <w:t>安徽星启工程项目管理有限公司</w:t>
            </w:r>
            <w:r>
              <w:rPr>
                <w:rFonts w:hint="eastAsia" w:ascii="宋体" w:hAnsi="宋体" w:eastAsia="宋体"/>
                <w:b w:val="0"/>
                <w:color w:val="auto"/>
                <w:sz w:val="24"/>
                <w:highlight w:val="none"/>
                <w:u w:val="single"/>
              </w:rPr>
              <w:t xml:space="preserve">； </w:t>
            </w:r>
          </w:p>
          <w:p w14:paraId="358BF65F">
            <w:pPr>
              <w:pStyle w:val="41"/>
              <w:widowControl w:val="0"/>
              <w:spacing w:before="0" w:beforeAutospacing="0" w:after="0" w:afterAutospacing="0" w:line="360" w:lineRule="auto"/>
              <w:jc w:val="both"/>
              <w:rPr>
                <w:rFonts w:hint="eastAsia" w:ascii="宋体" w:hAnsi="宋体" w:eastAsia="宋体"/>
                <w:b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 xml:space="preserve"> 15855013335、13615502012</w:t>
            </w:r>
            <w:r>
              <w:rPr>
                <w:rFonts w:hint="eastAsia" w:ascii="宋体" w:hAnsi="宋体" w:eastAsia="宋体"/>
                <w:b w:val="0"/>
                <w:color w:val="auto"/>
                <w:sz w:val="24"/>
                <w:highlight w:val="none"/>
                <w:u w:val="single"/>
              </w:rPr>
              <w:t xml:space="preserve">； </w:t>
            </w:r>
          </w:p>
          <w:p w14:paraId="0519CF7B">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szCs w:val="18"/>
                <w:highlight w:val="none"/>
                <w:u w:val="single"/>
                <w:lang w:val="en-US" w:eastAsia="zh-CN"/>
              </w:rPr>
              <w:t>安徽省滁州市丰乐大道2238号 、滁州市花园东路558号</w:t>
            </w:r>
            <w:r>
              <w:rPr>
                <w:rFonts w:hint="eastAsia" w:ascii="宋体" w:hAnsi="宋体" w:eastAsia="宋体"/>
                <w:b w:val="0"/>
                <w:color w:val="auto"/>
                <w:sz w:val="24"/>
                <w:highlight w:val="none"/>
                <w:u w:val="single"/>
              </w:rPr>
              <w:t xml:space="preserve"> </w:t>
            </w:r>
          </w:p>
        </w:tc>
      </w:tr>
      <w:tr w14:paraId="6616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0CEDE97">
            <w:pPr>
              <w:pStyle w:val="4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30</w:t>
            </w:r>
          </w:p>
        </w:tc>
        <w:tc>
          <w:tcPr>
            <w:tcW w:w="1160" w:type="pct"/>
            <w:vAlign w:val="center"/>
          </w:tcPr>
          <w:p w14:paraId="77CD5621">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6274" w:type="dxa"/>
            <w:vAlign w:val="center"/>
          </w:tcPr>
          <w:p w14:paraId="548FB7B4">
            <w:pPr>
              <w:spacing w:line="360" w:lineRule="auto"/>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1.解释权</w:t>
            </w:r>
          </w:p>
          <w:p w14:paraId="7421D786">
            <w:pPr>
              <w:spacing w:line="360" w:lineRule="auto"/>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lang w:eastAsia="zh-CN"/>
              </w:rPr>
              <w:t>谈判</w:t>
            </w:r>
            <w:r>
              <w:rPr>
                <w:rFonts w:asciiTheme="minorEastAsia" w:hAnsiTheme="minorEastAsia" w:eastAsiaTheme="minorEastAsia"/>
                <w:bCs/>
                <w:color w:val="auto"/>
                <w:sz w:val="24"/>
                <w:szCs w:val="24"/>
                <w:highlight w:val="none"/>
              </w:rPr>
              <w:t>文件的各个组成文件应互为解释，互为说明；</w:t>
            </w:r>
          </w:p>
          <w:p w14:paraId="64E419C3">
            <w:pPr>
              <w:spacing w:line="360" w:lineRule="auto"/>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4921507A">
            <w:pPr>
              <w:spacing w:line="360" w:lineRule="auto"/>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24B5D8B">
            <w:pPr>
              <w:spacing w:line="360" w:lineRule="auto"/>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lang w:eastAsia="zh-CN"/>
              </w:rPr>
              <w:t>谈判</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lang w:eastAsia="zh-CN"/>
              </w:rPr>
              <w:t>谈判</w:t>
            </w:r>
            <w:r>
              <w:rPr>
                <w:rFonts w:hint="eastAsia" w:asciiTheme="minorEastAsia" w:hAnsiTheme="minorEastAsia" w:eastAsiaTheme="minorEastAsia"/>
                <w:bCs/>
                <w:color w:val="auto"/>
                <w:sz w:val="24"/>
                <w:szCs w:val="24"/>
                <w:highlight w:val="none"/>
              </w:rPr>
              <w:t>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w:t>
            </w:r>
            <w:r>
              <w:rPr>
                <w:rFonts w:hint="eastAsia" w:asciiTheme="minorEastAsia" w:hAnsiTheme="minorEastAsia" w:eastAsiaTheme="minorEastAsia"/>
                <w:bCs/>
                <w:color w:val="auto"/>
                <w:sz w:val="24"/>
                <w:szCs w:val="24"/>
                <w:highlight w:val="none"/>
                <w:lang w:eastAsia="zh-CN"/>
              </w:rPr>
              <w:t>谈判</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lang w:eastAsia="zh-CN"/>
              </w:rPr>
              <w:t>谈判</w:t>
            </w:r>
            <w:r>
              <w:rPr>
                <w:rFonts w:hint="eastAsia" w:asciiTheme="minorEastAsia" w:hAnsiTheme="minorEastAsia" w:eastAsiaTheme="minorEastAsia"/>
                <w:bCs/>
                <w:color w:val="auto"/>
                <w:sz w:val="24"/>
                <w:szCs w:val="24"/>
                <w:highlight w:val="none"/>
              </w:rPr>
              <w:t>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50D15B7D">
            <w:pPr>
              <w:spacing w:line="360" w:lineRule="auto"/>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p w14:paraId="5FEAA4E8">
            <w:pPr>
              <w:spacing w:line="360" w:lineRule="auto"/>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2.“政采贷”融资指引：有融资需求的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18355809">
            <w:pPr>
              <w:spacing w:line="360" w:lineRule="auto"/>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3.电子保函指引：成交供应商可访问安徽省政府采购网“融资/保函”栏目，申请办理电子保函（包括：履约保函、预付款保函）。</w:t>
            </w:r>
          </w:p>
        </w:tc>
      </w:tr>
    </w:tbl>
    <w:p w14:paraId="35498322">
      <w:pPr>
        <w:spacing w:line="360" w:lineRule="auto"/>
        <w:jc w:val="center"/>
        <w:outlineLvl w:val="1"/>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53" w:name="_Toc27470"/>
      <w:bookmarkStart w:id="54" w:name="_Toc14293"/>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53"/>
      <w:bookmarkEnd w:id="54"/>
    </w:p>
    <w:p w14:paraId="752B764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65F7956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11311EC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2D6BCED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36423B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669FDC0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330E05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eastAsia="zh-CN"/>
        </w:rPr>
        <w:t>谈判</w:t>
      </w:r>
      <w:r>
        <w:rPr>
          <w:rFonts w:ascii="宋体" w:hAnsi="宋体" w:eastAsia="宋体"/>
          <w:color w:val="auto"/>
          <w:sz w:val="24"/>
          <w:highlight w:val="none"/>
        </w:rPr>
        <w:t>文件。</w:t>
      </w:r>
    </w:p>
    <w:p w14:paraId="3D15B00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rPr>
        <w:t>供应商</w:t>
      </w:r>
      <w:r>
        <w:rPr>
          <w:rFonts w:ascii="宋体" w:hAnsi="宋体" w:eastAsia="宋体"/>
          <w:color w:val="auto"/>
          <w:sz w:val="24"/>
          <w:highlight w:val="none"/>
        </w:rPr>
        <w:t>应保证所投产品可履行合法报通关手续进入中国关境内。</w:t>
      </w:r>
    </w:p>
    <w:p w14:paraId="5CDCA13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6B1DF19A">
      <w:pPr>
        <w:spacing w:line="360" w:lineRule="auto"/>
        <w:ind w:firstLine="435"/>
        <w:rPr>
          <w:rFonts w:hint="eastAsia" w:ascii="宋体" w:hAnsi="宋体" w:eastAsia="宋体"/>
          <w:color w:val="auto"/>
          <w:sz w:val="24"/>
          <w:highlight w:val="none"/>
        </w:rPr>
      </w:pPr>
      <w:bookmarkStart w:id="55" w:name="_Hlk60607583"/>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w:t>
      </w:r>
      <w:r>
        <w:rPr>
          <w:rFonts w:hint="eastAsia" w:ascii="宋体" w:hAnsi="宋体" w:eastAsia="宋体"/>
          <w:bCs/>
          <w:color w:val="auto"/>
          <w:kern w:val="0"/>
          <w:sz w:val="24"/>
          <w:szCs w:val="28"/>
          <w:highlight w:val="none"/>
          <w:lang w:eastAsia="zh-CN"/>
        </w:rPr>
        <w:t>谈判</w:t>
      </w:r>
      <w:r>
        <w:rPr>
          <w:rFonts w:hint="eastAsia" w:ascii="宋体" w:hAnsi="宋体" w:eastAsia="宋体"/>
          <w:bCs/>
          <w:color w:val="auto"/>
          <w:kern w:val="0"/>
          <w:sz w:val="24"/>
          <w:szCs w:val="28"/>
          <w:highlight w:val="none"/>
        </w:rPr>
        <w:t>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w:t>
      </w:r>
      <w:r>
        <w:rPr>
          <w:rFonts w:hint="eastAsia" w:ascii="宋体" w:hAnsi="宋体" w:eastAsia="宋体"/>
          <w:bCs/>
          <w:color w:val="auto"/>
          <w:kern w:val="0"/>
          <w:sz w:val="24"/>
          <w:szCs w:val="28"/>
          <w:highlight w:val="none"/>
          <w:lang w:eastAsia="zh-CN"/>
        </w:rPr>
        <w:t>谈判</w:t>
      </w:r>
      <w:r>
        <w:rPr>
          <w:rFonts w:ascii="宋体" w:hAnsi="宋体" w:eastAsia="宋体"/>
          <w:bCs/>
          <w:color w:val="auto"/>
          <w:kern w:val="0"/>
          <w:sz w:val="24"/>
          <w:szCs w:val="28"/>
          <w:highlight w:val="none"/>
        </w:rPr>
        <w:t>，对联合体规定如下：</w:t>
      </w:r>
    </w:p>
    <w:bookmarkEnd w:id="55"/>
    <w:p w14:paraId="670C904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联合体，以一个供应商的身份</w:t>
      </w:r>
      <w:r>
        <w:rPr>
          <w:rFonts w:hint="eastAsia" w:ascii="宋体" w:hAnsi="宋体" w:eastAsia="宋体"/>
          <w:color w:val="auto"/>
          <w:sz w:val="24"/>
          <w:highlight w:val="none"/>
          <w:lang w:eastAsia="zh-CN"/>
        </w:rPr>
        <w:t>谈判</w:t>
      </w:r>
      <w:r>
        <w:rPr>
          <w:rFonts w:ascii="宋体" w:hAnsi="宋体" w:eastAsia="宋体"/>
          <w:color w:val="auto"/>
          <w:sz w:val="24"/>
          <w:highlight w:val="none"/>
        </w:rPr>
        <w:t>。联合体参加</w:t>
      </w:r>
      <w:r>
        <w:rPr>
          <w:rFonts w:hint="eastAsia" w:ascii="宋体" w:hAnsi="宋体" w:eastAsia="宋体"/>
          <w:color w:val="auto"/>
          <w:sz w:val="24"/>
          <w:highlight w:val="none"/>
          <w:lang w:eastAsia="zh-CN"/>
        </w:rPr>
        <w:t>谈判</w:t>
      </w:r>
      <w:r>
        <w:rPr>
          <w:rFonts w:ascii="宋体" w:hAnsi="宋体" w:eastAsia="宋体"/>
          <w:color w:val="auto"/>
          <w:sz w:val="24"/>
          <w:highlight w:val="none"/>
        </w:rPr>
        <w:t>的，</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任一</w:t>
      </w:r>
      <w:r>
        <w:rPr>
          <w:rFonts w:hint="eastAsia" w:ascii="宋体" w:hAnsi="宋体" w:eastAsia="宋体"/>
          <w:color w:val="auto"/>
          <w:sz w:val="24"/>
          <w:highlight w:val="none"/>
        </w:rPr>
        <w:t>成员单位</w:t>
      </w:r>
      <w:r>
        <w:rPr>
          <w:rFonts w:ascii="宋体" w:hAnsi="宋体" w:eastAsia="宋体"/>
          <w:color w:val="auto"/>
          <w:sz w:val="24"/>
          <w:highlight w:val="none"/>
        </w:rPr>
        <w:t>办理均可。</w:t>
      </w:r>
    </w:p>
    <w:p w14:paraId="16B6F20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5D53DAB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42CE6C7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668EC31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lang w:eastAsia="zh-CN"/>
        </w:rPr>
        <w:t>谈判</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4EA327B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59619A5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lang w:eastAsia="zh-CN"/>
        </w:rPr>
        <w:t>谈判</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29FA1BF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w:t>
      </w:r>
      <w:r>
        <w:rPr>
          <w:rFonts w:hint="eastAsia" w:ascii="宋体" w:hAnsi="宋体" w:eastAsia="宋体"/>
          <w:color w:val="auto"/>
          <w:sz w:val="24"/>
          <w:highlight w:val="none"/>
          <w:lang w:eastAsia="zh-CN"/>
        </w:rPr>
        <w:t>谈判</w:t>
      </w:r>
      <w:r>
        <w:rPr>
          <w:rFonts w:ascii="宋体" w:hAnsi="宋体" w:eastAsia="宋体"/>
          <w:color w:val="auto"/>
          <w:sz w:val="24"/>
          <w:highlight w:val="none"/>
        </w:rPr>
        <w:t>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0CC76EB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6DAA001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.1本项目的采购人已获得足以支付本次</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后所签订的合同项下的资金。</w:t>
      </w:r>
    </w:p>
    <w:p w14:paraId="02E258A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谈判</w:t>
      </w:r>
      <w:r>
        <w:rPr>
          <w:rFonts w:hint="eastAsia" w:asciiTheme="minorEastAsia" w:hAnsiTheme="minorEastAsia" w:eastAsiaTheme="minorEastAsia"/>
          <w:b/>
          <w:color w:val="auto"/>
          <w:sz w:val="24"/>
          <w:highlight w:val="none"/>
        </w:rPr>
        <w:t>费用</w:t>
      </w:r>
    </w:p>
    <w:p w14:paraId="23B35895">
      <w:pPr>
        <w:spacing w:line="360" w:lineRule="auto"/>
        <w:ind w:firstLine="480" w:firstLineChars="200"/>
        <w:outlineLvl w:val="2"/>
        <w:rPr>
          <w:rFonts w:hint="eastAsia" w:ascii="宋体" w:hAnsi="宋体" w:eastAsia="宋体"/>
          <w:color w:val="auto"/>
          <w:sz w:val="24"/>
          <w:highlight w:val="none"/>
        </w:rPr>
      </w:pPr>
      <w:r>
        <w:rPr>
          <w:rFonts w:hint="eastAsia" w:ascii="宋体" w:hAnsi="宋体" w:eastAsia="宋体"/>
          <w:color w:val="auto"/>
          <w:sz w:val="24"/>
          <w:highlight w:val="none"/>
        </w:rPr>
        <w:t>不论</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的结果如何，供应商应承担其所有与准备和参加</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有关的费用</w:t>
      </w:r>
    </w:p>
    <w:p w14:paraId="37C519A4">
      <w:pPr>
        <w:spacing w:line="360" w:lineRule="auto"/>
        <w:ind w:firstLine="482" w:firstLineChars="200"/>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5B68D401">
      <w:pPr>
        <w:spacing w:line="360" w:lineRule="auto"/>
        <w:ind w:firstLine="480" w:firstLineChars="200"/>
        <w:outlineLvl w:val="2"/>
        <w:rPr>
          <w:rFonts w:hint="eastAsia" w:ascii="宋体" w:hAnsi="宋体" w:eastAsia="宋体"/>
          <w:color w:val="auto"/>
          <w:sz w:val="24"/>
          <w:highlight w:val="none"/>
        </w:rPr>
      </w:pPr>
      <w:r>
        <w:rPr>
          <w:rFonts w:hint="eastAsia" w:ascii="宋体" w:hAnsi="宋体" w:eastAsia="宋体"/>
          <w:color w:val="auto"/>
          <w:sz w:val="24"/>
          <w:highlight w:val="none"/>
        </w:rPr>
        <w:t>本项目采购人、采购代理机构、供应商、</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小组的相关行为均受《中华人民共和国政府采购法》、《中华人民共和国政府采购法实施条例》及本项目本级和上级财政部门、政府采购监督管理部门的政府采购有关规定的约束，其权利受到上述法律法规的保护。</w:t>
      </w:r>
    </w:p>
    <w:p w14:paraId="70A3C26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谈判</w:t>
      </w:r>
      <w:r>
        <w:rPr>
          <w:rFonts w:hint="eastAsia" w:asciiTheme="minorEastAsia" w:hAnsiTheme="minorEastAsia" w:eastAsiaTheme="minorEastAsia"/>
          <w:b/>
          <w:color w:val="auto"/>
          <w:sz w:val="24"/>
          <w:highlight w:val="none"/>
        </w:rPr>
        <w:t>文件构成</w:t>
      </w:r>
    </w:p>
    <w:p w14:paraId="0D03A08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5.1</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文件包括下列内容：</w:t>
      </w:r>
    </w:p>
    <w:p w14:paraId="6E97E389">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邀请</w:t>
      </w:r>
    </w:p>
    <w:p w14:paraId="60A2F0FA">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05F67ADB">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F3075B1">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1744E512">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DF777CC">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7C7B15B1">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7BE63C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58ECB36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文件所有的事项、格式、条款和技术规范等。</w:t>
      </w:r>
    </w:p>
    <w:p w14:paraId="6C11E29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谈判</w:t>
      </w:r>
      <w:r>
        <w:rPr>
          <w:rFonts w:hint="eastAsia" w:asciiTheme="minorEastAsia" w:hAnsiTheme="minorEastAsia" w:eastAsiaTheme="minorEastAsia"/>
          <w:b/>
          <w:color w:val="auto"/>
          <w:sz w:val="24"/>
          <w:highlight w:val="none"/>
        </w:rPr>
        <w:t>文件的澄清与修改</w:t>
      </w:r>
    </w:p>
    <w:p w14:paraId="30DCE1B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b/>
          <w:bCs/>
          <w:color w:val="auto"/>
          <w:sz w:val="24"/>
          <w:highlight w:val="none"/>
        </w:rPr>
        <w:t>询问</w:t>
      </w:r>
      <w:r>
        <w:rPr>
          <w:rFonts w:asciiTheme="minorEastAsia" w:hAnsiTheme="minorEastAsia" w:eastAsiaTheme="minorEastAsia"/>
          <w:color w:val="auto"/>
          <w:sz w:val="24"/>
          <w:highlight w:val="none"/>
        </w:rPr>
        <w:t>截止时间前以</w:t>
      </w:r>
      <w:r>
        <w:rPr>
          <w:rFonts w:hint="eastAsia" w:asciiTheme="minorEastAsia" w:hAnsiTheme="minorEastAsia" w:eastAsiaTheme="minorEastAsia"/>
          <w:b/>
          <w:bCs/>
          <w:color w:val="auto"/>
          <w:sz w:val="24"/>
          <w:highlight w:val="none"/>
        </w:rPr>
        <w:t>书面形式</w:t>
      </w:r>
      <w:r>
        <w:rPr>
          <w:rFonts w:asciiTheme="minorEastAsia" w:hAnsiTheme="minorEastAsia" w:eastAsiaTheme="minorEastAsia"/>
          <w:color w:val="auto"/>
          <w:sz w:val="24"/>
          <w:highlight w:val="none"/>
        </w:rPr>
        <w:t>提交给采购代理机构。</w:t>
      </w:r>
    </w:p>
    <w:p w14:paraId="57AB62B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2采购人可主动地或在答复供应商提出的询问时对</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lang w:val="en-US" w:eastAsia="zh-CN"/>
        </w:rPr>
        <w:t>以</w:t>
      </w:r>
      <w:r>
        <w:rPr>
          <w:rFonts w:hint="eastAsia" w:asciiTheme="minorEastAsia" w:hAnsiTheme="minorEastAsia" w:eastAsiaTheme="minorEastAsia"/>
          <w:color w:val="auto"/>
          <w:sz w:val="24"/>
          <w:highlight w:val="none"/>
        </w:rPr>
        <w:t>发布更正公告的方式澄清或者修改</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。供应商应主动查询。采购代理机构不承担供应商未及时关注相关信息引发的相关责任。</w:t>
      </w:r>
    </w:p>
    <w:p w14:paraId="0946ACA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6.3任何人或任何组织向供应商提供的任何书面或口头资料，未经采购代理机构在网上发布或书面通知，均作无效处理，不得作为</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文件的组成部分。采购代理机构对供应商由此而做出的推论、理解和结论概不负责。</w:t>
      </w:r>
    </w:p>
    <w:p w14:paraId="7F2C8B09">
      <w:pPr>
        <w:spacing w:line="360" w:lineRule="auto"/>
        <w:ind w:firstLine="435"/>
        <w:rPr>
          <w:rFonts w:hint="eastAsia"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w:t>
      </w:r>
    </w:p>
    <w:p w14:paraId="17F4458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谈判</w:t>
      </w:r>
      <w:r>
        <w:rPr>
          <w:rFonts w:hint="eastAsia" w:asciiTheme="minorEastAsia" w:hAnsiTheme="minorEastAsia" w:eastAsiaTheme="minorEastAsia"/>
          <w:b/>
          <w:color w:val="auto"/>
          <w:sz w:val="24"/>
          <w:highlight w:val="none"/>
        </w:rPr>
        <w:t>范围及响应文件中标准和计量单位的使用</w:t>
      </w:r>
    </w:p>
    <w:p w14:paraId="03C1A3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3D7FC268">
      <w:pPr>
        <w:spacing w:line="360" w:lineRule="auto"/>
        <w:ind w:firstLine="435"/>
        <w:rPr>
          <w:rFonts w:hint="eastAsia" w:eastAsiaTheme="minorEastAsia"/>
          <w:color w:val="auto"/>
          <w:highlight w:val="none"/>
        </w:rPr>
      </w:pPr>
      <w:r>
        <w:rPr>
          <w:rFonts w:hint="eastAsia" w:asciiTheme="minorEastAsia" w:hAnsiTheme="minorEastAsia" w:eastAsiaTheme="minorEastAsia"/>
          <w:color w:val="auto"/>
          <w:sz w:val="24"/>
          <w:highlight w:val="none"/>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2142D6C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无论</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文件中是否要求，供应商所投货物及伴随的服务和工程均应符合国家强制性标准。</w:t>
      </w:r>
    </w:p>
    <w:p w14:paraId="01B4194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供应商与采购代理机构之间与</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有关的所有往来通知、函件和响应文件均用中文表述。供应商随响应文件提供的证明文件和资料可以为其它语言，但必须附中文译文。翻译的中文资料与外文资料如果出现差异时，以中文为准。</w:t>
      </w:r>
    </w:p>
    <w:p w14:paraId="434AB56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文件中有特殊要求外，响应文件中所使用的计量单位，应采用中华人民共和国法定计量单位。</w:t>
      </w:r>
    </w:p>
    <w:p w14:paraId="575695B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6D202A0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具体内容详见本项目响应文件格式的相关内容。</w:t>
      </w:r>
    </w:p>
    <w:p w14:paraId="648DDB4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hint="eastAsia" w:ascii="宋体" w:hAnsi="宋体" w:eastAsia="宋体"/>
          <w:color w:val="auto"/>
          <w:sz w:val="24"/>
          <w:highlight w:val="none"/>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rPr>
        <w:t>等。</w:t>
      </w:r>
    </w:p>
    <w:p w14:paraId="2AED095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方案。</w:t>
      </w:r>
    </w:p>
    <w:p w14:paraId="4C152A5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401F730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文件另有规定外，所有内容均应以人民币报价，供应商的</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报价应遵守《中华人民共和国价格法》。</w:t>
      </w:r>
    </w:p>
    <w:p w14:paraId="4F2997F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除非</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文件另有规定或经采购人同意支付的，最后报价均不得高于</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D78986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BF6864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6534AE4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谈判</w:t>
      </w:r>
      <w:r>
        <w:rPr>
          <w:rFonts w:hint="eastAsia" w:asciiTheme="minorEastAsia" w:hAnsiTheme="minorEastAsia" w:eastAsiaTheme="minorEastAsia"/>
          <w:b/>
          <w:color w:val="auto"/>
          <w:sz w:val="24"/>
          <w:highlight w:val="none"/>
        </w:rPr>
        <w:t>保证金</w:t>
      </w:r>
    </w:p>
    <w:p w14:paraId="37833CC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保证金。</w:t>
      </w:r>
    </w:p>
    <w:p w14:paraId="54805948">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谈判</w:t>
      </w:r>
      <w:r>
        <w:rPr>
          <w:rFonts w:hint="eastAsia" w:asciiTheme="minorEastAsia" w:hAnsiTheme="minorEastAsia" w:eastAsiaTheme="minorEastAsia"/>
          <w:b/>
          <w:color w:val="auto"/>
          <w:sz w:val="24"/>
          <w:highlight w:val="none"/>
        </w:rPr>
        <w:t>有效期</w:t>
      </w:r>
    </w:p>
    <w:p w14:paraId="77CEE6A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有效期为从响应文件提交截止之日算起的日历天数，</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B86FA8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.2在</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有效期内，供应商的</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保持有效，供应商不得要求撤销或修改其响应文件。</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97B3B6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.3为保证有充分时间签订合同，采购人或采购代理机构可根据实际情况，在原</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有效期截止之前，要求供应商延长</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有效期。接受该要求的供应商将不会被要求和允许修正其响应文件。供应商可以拒绝延长</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有效期的要求，且不承担任何责任。上述要求和答复都应以书面形式提交。</w:t>
      </w:r>
    </w:p>
    <w:p w14:paraId="2B629B58">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49EDFED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12.1供应商应当在第一章竞争性</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公告规定的响应文件提交截止时间前</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rPr>
        <w:t>密封的响应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现场递交</w:t>
      </w:r>
      <w:r>
        <w:rPr>
          <w:rFonts w:asciiTheme="minorEastAsia" w:hAnsiTheme="minorEastAsia" w:eastAsiaTheme="minorEastAsia"/>
          <w:color w:val="auto"/>
          <w:sz w:val="24"/>
          <w:highlight w:val="none"/>
        </w:rPr>
        <w:t>。</w:t>
      </w:r>
    </w:p>
    <w:p w14:paraId="0D2AC89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12.2供应商应当在响应文件提交截止时间前提交，并可以补充、修改或者撤回响应文件。</w:t>
      </w:r>
    </w:p>
    <w:p w14:paraId="03DDA454">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12.3在响应文件提交截止时间之后，供应商不得对其响应文件做任何修改。</w:t>
      </w:r>
      <w:r>
        <w:rPr>
          <w:rFonts w:hint="eastAsia" w:ascii="宋体" w:hAnsi="宋体" w:eastAsia="宋体"/>
          <w:color w:val="auto"/>
          <w:sz w:val="24"/>
          <w:highlight w:val="none"/>
        </w:rPr>
        <w:t>但属于</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小组在评审中发现的计算错误并进行核实的修改、按照</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文件的变动情况和</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小组的要求重新提交响应文件的，不在此列。</w:t>
      </w:r>
    </w:p>
    <w:p w14:paraId="1438851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谈判</w:t>
      </w:r>
      <w:r>
        <w:rPr>
          <w:rFonts w:hint="eastAsia" w:asciiTheme="minorEastAsia" w:hAnsiTheme="minorEastAsia" w:eastAsiaTheme="minorEastAsia"/>
          <w:b/>
          <w:color w:val="auto"/>
          <w:sz w:val="24"/>
          <w:highlight w:val="none"/>
        </w:rPr>
        <w:t>小组</w:t>
      </w:r>
    </w:p>
    <w:p w14:paraId="356EF7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.1本项目将依法组建</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小组，</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小组及其成员应当依照政府采购的有关规定履行相关职责和义务。</w:t>
      </w:r>
    </w:p>
    <w:p w14:paraId="1C05C93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小组依法对响应文件进行评审，并根据</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文件规定的程序、评定成交的标准等事项与实质性响应</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文件要求的供应商进行</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w:t>
      </w:r>
    </w:p>
    <w:p w14:paraId="43187CC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小组应当从质量和服务均能满足</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25AE7164">
      <w:pPr>
        <w:spacing w:line="360" w:lineRule="auto"/>
        <w:ind w:firstLine="437"/>
        <w:outlineLvl w:val="2"/>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.响应文件的评审与</w:t>
      </w:r>
      <w:r>
        <w:rPr>
          <w:rFonts w:hint="eastAsia" w:asciiTheme="minorEastAsia" w:hAnsiTheme="minorEastAsia" w:eastAsiaTheme="minorEastAsia"/>
          <w:b/>
          <w:color w:val="auto"/>
          <w:sz w:val="24"/>
          <w:highlight w:val="none"/>
          <w:lang w:eastAsia="zh-CN"/>
        </w:rPr>
        <w:t>谈判</w:t>
      </w:r>
    </w:p>
    <w:p w14:paraId="5A18FA8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1采购人和采购代理机构将在竞争性</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公告规定的时间和地点组织</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w:t>
      </w:r>
    </w:p>
    <w:p w14:paraId="071E8E0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14.2竞争性</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活动采用综合评分法评审。</w:t>
      </w:r>
    </w:p>
    <w:p w14:paraId="45AF54E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文件全部实质性要求且按评审因素的量化指标评审得分最高的供应商为成交候选供应商的评审方法。</w:t>
      </w:r>
    </w:p>
    <w:p w14:paraId="693743E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小组将按照</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文件规定的评审方法和标准对供应商独立进行评审。评审程序如下：</w:t>
      </w:r>
    </w:p>
    <w:p w14:paraId="353CD5B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小组对供应商必须满足和实质性响应的内容进行评审，供应商未实质性响应</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文件要求导致响应无效的，</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小组将以书面询标的方式告知有关供应商。</w:t>
      </w:r>
    </w:p>
    <w:p w14:paraId="579E88F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2E4022F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47F4D1C1">
      <w:pPr>
        <w:spacing w:line="360" w:lineRule="auto"/>
        <w:ind w:firstLine="435"/>
        <w:rPr>
          <w:rFonts w:hint="eastAsia"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4D04FBB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14.3.2</w:t>
      </w:r>
      <w:r>
        <w:rPr>
          <w:rFonts w:hint="eastAsia" w:asciiTheme="minorEastAsia" w:hAnsiTheme="minorEastAsia" w:eastAsiaTheme="minorEastAsia"/>
          <w:b/>
          <w:color w:val="auto"/>
          <w:sz w:val="24"/>
          <w:highlight w:val="none"/>
          <w:lang w:eastAsia="zh-CN"/>
        </w:rPr>
        <w:t>谈判</w:t>
      </w:r>
      <w:r>
        <w:rPr>
          <w:rFonts w:hint="eastAsia" w:asciiTheme="minorEastAsia" w:hAnsiTheme="minorEastAsia" w:eastAsiaTheme="minorEastAsia"/>
          <w:color w:val="auto"/>
          <w:sz w:val="24"/>
          <w:highlight w:val="none"/>
        </w:rPr>
        <w:t>。初审合格后，</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小组将按响应文件提交顺序集中与单一供应商分别进行</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，并给予所有参加</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的供应商平等的</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机会。</w:t>
      </w:r>
    </w:p>
    <w:p w14:paraId="454DA8F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结束后，</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1E0547FD">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14.3.4</w:t>
      </w:r>
      <w:r>
        <w:rPr>
          <w:rFonts w:hint="eastAsia" w:asciiTheme="minorEastAsia" w:hAnsiTheme="minorEastAsia" w:eastAsiaTheme="minorEastAsia"/>
          <w:b/>
          <w:bCs/>
          <w:color w:val="auto"/>
          <w:sz w:val="24"/>
          <w:highlight w:val="none"/>
        </w:rPr>
        <w:t>本</w:t>
      </w:r>
      <w:r>
        <w:rPr>
          <w:rFonts w:hint="eastAsia" w:asciiTheme="minorEastAsia" w:hAnsiTheme="minorEastAsia" w:eastAsiaTheme="minorEastAsia"/>
          <w:b/>
          <w:bCs/>
          <w:color w:val="auto"/>
          <w:sz w:val="24"/>
          <w:highlight w:val="none"/>
          <w:lang w:val="en-US" w:eastAsia="zh-CN"/>
        </w:rPr>
        <w:t>次谈判</w:t>
      </w:r>
      <w:r>
        <w:rPr>
          <w:rFonts w:hint="eastAsia" w:asciiTheme="minorEastAsia" w:hAnsiTheme="minorEastAsia" w:eastAsiaTheme="minorEastAsia"/>
          <w:b/>
          <w:bCs/>
          <w:color w:val="auto"/>
          <w:sz w:val="24"/>
          <w:highlight w:val="none"/>
        </w:rPr>
        <w:t>实行两次报价。第一次报价为供应商在响应文件中填报的报价，第二次报价(最后报价)在响应文件通过评审后，</w:t>
      </w:r>
      <w:r>
        <w:rPr>
          <w:rFonts w:hint="eastAsia" w:asciiTheme="minorEastAsia" w:hAnsiTheme="minorEastAsia" w:eastAsiaTheme="minorEastAsia"/>
          <w:b/>
          <w:bCs/>
          <w:color w:val="auto"/>
          <w:sz w:val="24"/>
          <w:highlight w:val="none"/>
          <w:lang w:val="en-US" w:eastAsia="zh-CN"/>
        </w:rPr>
        <w:t>代理机构电话通知</w:t>
      </w:r>
      <w:r>
        <w:rPr>
          <w:rFonts w:hint="eastAsia" w:asciiTheme="minorEastAsia" w:hAnsiTheme="minorEastAsia" w:eastAsiaTheme="minorEastAsia"/>
          <w:b/>
          <w:bCs/>
          <w:color w:val="auto"/>
          <w:sz w:val="24"/>
          <w:highlight w:val="none"/>
        </w:rPr>
        <w:t>供应商在规定的时间内，通过“</w:t>
      </w:r>
      <w:r>
        <w:rPr>
          <w:rFonts w:hint="eastAsia" w:asciiTheme="minorEastAsia" w:hAnsiTheme="minorEastAsia" w:eastAsiaTheme="minorEastAsia"/>
          <w:b/>
          <w:bCs/>
          <w:color w:val="auto"/>
          <w:sz w:val="24"/>
          <w:highlight w:val="none"/>
          <w:lang w:val="en-US" w:eastAsia="zh-CN"/>
        </w:rPr>
        <w:t>代理机构邮箱</w:t>
      </w:r>
      <w:r>
        <w:rPr>
          <w:rFonts w:hint="eastAsia" w:asciiTheme="minorEastAsia" w:hAnsiTheme="minorEastAsia" w:eastAsiaTheme="minorEastAsia"/>
          <w:b/>
          <w:bCs/>
          <w:color w:val="auto"/>
          <w:sz w:val="24"/>
          <w:highlight w:val="none"/>
          <w:lang w:val="en-US" w:eastAsia="zh-CN"/>
        </w:rPr>
        <w:fldChar w:fldCharType="begin"/>
      </w:r>
      <w:r>
        <w:rPr>
          <w:rFonts w:hint="eastAsia" w:asciiTheme="minorEastAsia" w:hAnsiTheme="minorEastAsia" w:eastAsiaTheme="minorEastAsia"/>
          <w:b/>
          <w:bCs/>
          <w:color w:val="auto"/>
          <w:sz w:val="24"/>
          <w:highlight w:val="none"/>
          <w:lang w:val="en-US" w:eastAsia="zh-CN"/>
        </w:rPr>
        <w:instrText xml:space="preserve"> HYPERLINK "mailto:（176594995@qq.com)" </w:instrText>
      </w:r>
      <w:r>
        <w:rPr>
          <w:rFonts w:hint="eastAsia" w:asciiTheme="minorEastAsia" w:hAnsiTheme="minorEastAsia" w:eastAsiaTheme="minorEastAsia"/>
          <w:b/>
          <w:bCs/>
          <w:color w:val="auto"/>
          <w:sz w:val="24"/>
          <w:highlight w:val="none"/>
          <w:lang w:val="en-US" w:eastAsia="zh-CN"/>
        </w:rPr>
        <w:fldChar w:fldCharType="separate"/>
      </w:r>
      <w:r>
        <w:rPr>
          <w:rFonts w:hint="eastAsia" w:asciiTheme="minorEastAsia" w:hAnsiTheme="minorEastAsia" w:eastAsiaTheme="minorEastAsia"/>
          <w:b/>
          <w:bCs/>
          <w:color w:val="auto"/>
          <w:sz w:val="24"/>
          <w:highlight w:val="none"/>
          <w:lang w:val="en-US" w:eastAsia="zh-CN"/>
        </w:rPr>
        <w:t>（176594995@qq.com)</w:t>
      </w:r>
      <w:r>
        <w:rPr>
          <w:rFonts w:hint="eastAsia" w:asciiTheme="minorEastAsia" w:hAnsiTheme="minorEastAsia" w:eastAsiaTheme="minorEastAsia"/>
          <w:b/>
          <w:bCs/>
          <w:color w:val="auto"/>
          <w:sz w:val="24"/>
          <w:highlight w:val="none"/>
          <w:lang w:val="en-US" w:eastAsia="zh-CN"/>
        </w:rPr>
        <w:fldChar w:fldCharType="end"/>
      </w:r>
      <w:r>
        <w:rPr>
          <w:rFonts w:hint="eastAsia" w:asciiTheme="minorEastAsia" w:hAnsiTheme="minorEastAsia" w:eastAsiaTheme="minorEastAsia"/>
          <w:b/>
          <w:bCs/>
          <w:color w:val="auto"/>
          <w:sz w:val="24"/>
          <w:highlight w:val="none"/>
        </w:rPr>
        <w:t>”进行二次报价(最后报价)。各供应商应及时进行二次报价，第二次报价即为最后报价，若供应商未在规定的时间内进行二次报价(最后报价)，谈判小组默认其响应文件中填报的价格为供应商的最后报价，谈判结果以供应商的最后报价为准，采购人根据质量和服务均能满足谈判文件实质性响应要求且最后报价由低到高的顺序推荐3名成交候选供应商(若最后报价有两家及以上相同时由采购人通过抽签的方式确定</w:t>
      </w:r>
      <w:r>
        <w:rPr>
          <w:rFonts w:hint="eastAsia" w:asciiTheme="minorEastAsia" w:hAnsiTheme="minorEastAsia" w:eastAsiaTheme="minorEastAsia"/>
          <w:b/>
          <w:bCs/>
          <w:color w:val="auto"/>
          <w:sz w:val="24"/>
          <w:highlight w:val="none"/>
          <w:lang w:val="en-US" w:eastAsia="zh-CN"/>
        </w:rPr>
        <w:t>成交候选人</w:t>
      </w:r>
      <w:r>
        <w:rPr>
          <w:rFonts w:hint="eastAsia" w:asciiTheme="minorEastAsia" w:hAnsiTheme="minorEastAsia" w:eastAsiaTheme="minorEastAsia"/>
          <w:b/>
          <w:bCs/>
          <w:color w:val="auto"/>
          <w:sz w:val="24"/>
          <w:highlight w:val="none"/>
        </w:rPr>
        <w:t>排名)。最后报价是供应商响应文件的有效组成部分。二次报价(最后报价)不得高于其一次报价，望各供应商务必</w:t>
      </w:r>
      <w:r>
        <w:rPr>
          <w:rFonts w:hint="eastAsia" w:asciiTheme="minorEastAsia" w:hAnsiTheme="minorEastAsia" w:eastAsiaTheme="minorEastAsia"/>
          <w:b/>
          <w:bCs/>
          <w:color w:val="auto"/>
          <w:sz w:val="24"/>
          <w:highlight w:val="none"/>
          <w:lang w:val="en-US" w:eastAsia="zh-CN"/>
        </w:rPr>
        <w:t>保持电话畅通</w:t>
      </w:r>
      <w:r>
        <w:rPr>
          <w:rFonts w:hint="eastAsia" w:asciiTheme="minorEastAsia" w:hAnsiTheme="minorEastAsia" w:eastAsiaTheme="minorEastAsia"/>
          <w:b/>
          <w:bCs/>
          <w:color w:val="auto"/>
          <w:sz w:val="24"/>
          <w:highlight w:val="none"/>
        </w:rPr>
        <w:t>，及时进行回复，否则，因此给其造成相关后果，自行承担。最后报价的综合单价结合提交首次响应文件中的各项综合单价按总价同比例下浮</w:t>
      </w:r>
      <w:r>
        <w:rPr>
          <w:rFonts w:hint="eastAsia" w:asciiTheme="minorEastAsia" w:hAnsiTheme="minorEastAsia" w:eastAsiaTheme="minorEastAsia"/>
          <w:b/>
          <w:bCs/>
          <w:color w:val="auto"/>
          <w:sz w:val="24"/>
          <w:highlight w:val="none"/>
          <w:lang w:eastAsia="zh-CN"/>
        </w:rPr>
        <w:t>。</w:t>
      </w:r>
    </w:p>
    <w:p w14:paraId="5ED059C4">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1.2谈判小组对满足谈判文件实质性要求的响应文件，</w:t>
      </w:r>
      <w:r>
        <w:rPr>
          <w:rFonts w:hint="eastAsia" w:asciiTheme="minorEastAsia" w:hAnsiTheme="minorEastAsia" w:eastAsiaTheme="minorEastAsia"/>
          <w:color w:val="auto"/>
          <w:sz w:val="24"/>
          <w:highlight w:val="none"/>
        </w:rPr>
        <w:t>按投标人的最终报价从低到高，推荐最终投标总报价最低的为第一成交候选人，次低的为第二成交候选人，以此类推三名成交候选人，但最终投标报价低于其成本的除外。最终投标总报价</w:t>
      </w:r>
      <w:r>
        <w:rPr>
          <w:rFonts w:hint="eastAsia" w:asciiTheme="minorEastAsia" w:hAnsiTheme="minorEastAsia" w:eastAsiaTheme="minorEastAsia"/>
          <w:color w:val="auto"/>
          <w:sz w:val="24"/>
          <w:highlight w:val="none"/>
        </w:rPr>
        <w:t>相同的投标人有两名或两名以上时，由</w:t>
      </w:r>
      <w:r>
        <w:rPr>
          <w:rFonts w:hint="eastAsia" w:asciiTheme="minorEastAsia" w:hAnsiTheme="minorEastAsia" w:eastAsiaTheme="minorEastAsia"/>
          <w:color w:val="auto"/>
          <w:sz w:val="24"/>
          <w:highlight w:val="none"/>
          <w:lang w:eastAsia="zh-CN"/>
        </w:rPr>
        <w:t>采购人</w:t>
      </w:r>
      <w:r>
        <w:rPr>
          <w:rFonts w:hint="eastAsia" w:asciiTheme="minorEastAsia" w:hAnsiTheme="minorEastAsia" w:eastAsiaTheme="minorEastAsia"/>
          <w:color w:val="auto"/>
          <w:sz w:val="24"/>
          <w:highlight w:val="none"/>
        </w:rPr>
        <w:t>或谈判小组主任委员抽签确定成交候选人排名</w:t>
      </w:r>
      <w:r>
        <w:rPr>
          <w:rFonts w:hint="eastAsia" w:asciiTheme="minorEastAsia" w:hAnsiTheme="minorEastAsia" w:eastAsiaTheme="minorEastAsia"/>
          <w:color w:val="auto"/>
          <w:sz w:val="24"/>
          <w:highlight w:val="none"/>
          <w:lang w:eastAsia="zh-CN"/>
        </w:rPr>
        <w:t>。</w:t>
      </w:r>
    </w:p>
    <w:p w14:paraId="6998FCE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4.4相关说明。</w:t>
      </w:r>
    </w:p>
    <w:p w14:paraId="319E87E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14.4.1为保证</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 xml:space="preserve">活动顺利进行，供应商可派相关技术人员进行答疑； </w:t>
      </w:r>
    </w:p>
    <w:p w14:paraId="0DCC788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14.4.2</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小组根据与</w:t>
      </w: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情况可能实质性变动</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的内容，包括采购需求中的技术、服务要求以及合同草案条款。</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文件有实质性变动的，</w:t>
      </w:r>
      <w:r>
        <w:rPr>
          <w:rFonts w:hint="eastAsia" w:asciiTheme="minorEastAsia" w:hAnsiTheme="minorEastAsia" w:eastAsiaTheme="minorEastAsia"/>
          <w:color w:val="auto"/>
          <w:sz w:val="24"/>
          <w:highlight w:val="none"/>
        </w:rPr>
        <w:t>经采购人代表确认作为</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文件的有效组成部分，</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的供应商。</w:t>
      </w:r>
    </w:p>
    <w:p w14:paraId="41717D6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14.4.3</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015660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复印件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小组可以视同其未提供。</w:t>
      </w:r>
    </w:p>
    <w:p w14:paraId="743E9CC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14.4.5</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4FCE940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4295B831">
      <w:pPr>
        <w:spacing w:line="360" w:lineRule="auto"/>
        <w:ind w:firstLine="437"/>
        <w:outlineLvl w:val="2"/>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.终止竞争性</w:t>
      </w:r>
      <w:r>
        <w:rPr>
          <w:rFonts w:hint="eastAsia" w:asciiTheme="minorEastAsia" w:hAnsiTheme="minorEastAsia" w:eastAsiaTheme="minorEastAsia"/>
          <w:b/>
          <w:color w:val="auto"/>
          <w:sz w:val="24"/>
          <w:highlight w:val="none"/>
          <w:lang w:eastAsia="zh-CN"/>
        </w:rPr>
        <w:t>谈判</w:t>
      </w:r>
    </w:p>
    <w:p w14:paraId="6666EC3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15.1出现下列情况之一时，采购人和采购代理机构有权宣布终止竞争性</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采购，并将理由通知所有供应商：</w:t>
      </w:r>
    </w:p>
    <w:p w14:paraId="5FADE6D7">
      <w:pPr>
        <w:keepNext w:val="0"/>
        <w:keepLines w:val="0"/>
        <w:pageBreakBefore w:val="0"/>
        <w:widowControl w:val="0"/>
        <w:kinsoku/>
        <w:wordWrap/>
        <w:overflowPunct/>
        <w:topLinePunct w:val="0"/>
        <w:autoSpaceDE/>
        <w:autoSpaceDN/>
        <w:bidi w:val="0"/>
        <w:adjustRightInd/>
        <w:snapToGrid/>
        <w:spacing w:line="24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缺乏竞争的；</w:t>
      </w:r>
    </w:p>
    <w:p w14:paraId="237203F0">
      <w:pPr>
        <w:keepNext w:val="0"/>
        <w:keepLines w:val="0"/>
        <w:pageBreakBefore w:val="0"/>
        <w:widowControl w:val="0"/>
        <w:kinsoku/>
        <w:wordWrap/>
        <w:overflowPunct/>
        <w:topLinePunct w:val="0"/>
        <w:autoSpaceDE/>
        <w:autoSpaceDN/>
        <w:bidi w:val="0"/>
        <w:adjustRightInd/>
        <w:snapToGrid/>
        <w:spacing w:line="24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1EDBF8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51534E79">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6856021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2798832B">
      <w:pPr>
        <w:spacing w:line="360" w:lineRule="auto"/>
        <w:ind w:firstLine="470" w:firstLineChars="196"/>
        <w:rPr>
          <w:rFonts w:hint="eastAsia" w:ascii="宋体" w:hAnsi="宋体" w:eastAsia="宋体"/>
          <w:color w:val="auto"/>
          <w:sz w:val="24"/>
          <w:highlight w:val="none"/>
        </w:rPr>
      </w:pPr>
      <w:r>
        <w:rPr>
          <w:rFonts w:hint="eastAsia" w:ascii="宋体" w:hAnsi="宋体" w:eastAsia="宋体"/>
          <w:color w:val="auto"/>
          <w:sz w:val="24"/>
          <w:highlight w:val="none"/>
        </w:rPr>
        <w:t>16.1</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3B40CDAA">
      <w:pPr>
        <w:spacing w:line="360" w:lineRule="auto"/>
        <w:ind w:firstLine="470" w:firstLineChars="196"/>
        <w:rPr>
          <w:rFonts w:hint="eastAsia" w:ascii="宋体" w:hAnsi="宋体" w:eastAsia="宋体"/>
          <w:color w:val="auto"/>
          <w:sz w:val="24"/>
          <w:highlight w:val="none"/>
        </w:rPr>
      </w:pPr>
      <w:r>
        <w:rPr>
          <w:rFonts w:hint="eastAsia" w:ascii="宋体" w:hAnsi="宋体" w:eastAsia="宋体"/>
          <w:color w:val="auto"/>
          <w:sz w:val="24"/>
          <w:highlight w:val="none"/>
        </w:rPr>
        <w:t>16.2</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小组要求供应商澄清、说明或者更正响应文件应当以书面形式（询标）作出。供应商的澄清、说明或者更正应当由法定代表人或其授权代表签字或者加盖公章。</w:t>
      </w:r>
    </w:p>
    <w:p w14:paraId="50043F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.最后报价</w:t>
      </w:r>
    </w:p>
    <w:p w14:paraId="4E07311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并进行二轮报价。</w:t>
      </w:r>
    </w:p>
    <w:p w14:paraId="642C86C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w:t>
      </w:r>
      <w:r>
        <w:rPr>
          <w:rFonts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4AD2EDF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17.3</w:t>
      </w:r>
      <w:r>
        <w:rPr>
          <w:rFonts w:asciiTheme="minorEastAsia" w:hAnsiTheme="minorEastAsia" w:eastAsiaTheme="minorEastAsia"/>
          <w:color w:val="auto"/>
          <w:sz w:val="24"/>
          <w:highlight w:val="none"/>
        </w:rPr>
        <w:t>最后报价是供应商响应文件的有效组成部分，最后报价也是签订合同的依据。</w:t>
      </w:r>
    </w:p>
    <w:p w14:paraId="634F5AE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2C278EF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小组按照技术指标优劣顺序推荐成交候选供应商。</w:t>
      </w:r>
    </w:p>
    <w:p w14:paraId="41B7052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32143C52">
      <w:pPr>
        <w:spacing w:line="360" w:lineRule="auto"/>
        <w:ind w:firstLine="435"/>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19.1</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p>
    <w:p w14:paraId="1AF8C678">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.编写评审报告</w:t>
      </w:r>
    </w:p>
    <w:p w14:paraId="4E9C53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20.1评审报告是根据全体</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小组成员签字的原始评审记录和评审结果编写的报告，评审报告由</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小组全体成员签字。对评审结论持有异议的</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小组成员可以书面方式阐述其不同意见和理由。</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小组成员拒绝在评审报告上签字且不陈述其不同意见和理由的，视为同意评审结论。</w:t>
      </w:r>
    </w:p>
    <w:p w14:paraId="6B1BE4D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6DE76B1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21.1评审将在严格保密的情况下进行。</w:t>
      </w:r>
    </w:p>
    <w:p w14:paraId="78D9333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21.2有关人员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11EE3E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.成交结果公告</w:t>
      </w:r>
    </w:p>
    <w:p w14:paraId="052668E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t>.1为体现“公开、公平、公正”的原则，</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结束后，</w:t>
      </w:r>
      <w:r>
        <w:rPr>
          <w:rFonts w:hint="eastAsia" w:ascii="宋体" w:hAnsi="宋体" w:eastAsia="宋体"/>
          <w:color w:val="auto"/>
          <w:sz w:val="24"/>
          <w:szCs w:val="18"/>
          <w:highlight w:val="none"/>
        </w:rPr>
        <w:t>采购代理机构将</w:t>
      </w:r>
      <w:r>
        <w:rPr>
          <w:rFonts w:asciiTheme="minorEastAsia" w:hAnsiTheme="minorEastAsia" w:eastAsiaTheme="minorEastAsia"/>
          <w:color w:val="auto"/>
          <w:sz w:val="24"/>
          <w:highlight w:val="none"/>
        </w:rPr>
        <w:t>发布成交结果公告。</w:t>
      </w:r>
    </w:p>
    <w:p w14:paraId="117F10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26F4A877">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1BBAB6D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079523C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3B3C5CD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.3成交通知书是合同的组成部分。</w:t>
      </w:r>
    </w:p>
    <w:p w14:paraId="07E4CD68">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24</w:t>
      </w:r>
      <w:r>
        <w:rPr>
          <w:rFonts w:ascii="宋体" w:hAnsi="宋体" w:eastAsia="宋体"/>
          <w:b/>
          <w:color w:val="auto"/>
          <w:sz w:val="24"/>
          <w:highlight w:val="none"/>
        </w:rPr>
        <w:t>.告知</w:t>
      </w:r>
      <w:r>
        <w:rPr>
          <w:rFonts w:hint="eastAsia" w:ascii="宋体" w:hAnsi="宋体" w:eastAsia="宋体"/>
          <w:b/>
          <w:color w:val="auto"/>
          <w:sz w:val="24"/>
          <w:highlight w:val="none"/>
          <w:lang w:eastAsia="zh-CN"/>
        </w:rPr>
        <w:t>谈判</w:t>
      </w:r>
      <w:r>
        <w:rPr>
          <w:rFonts w:ascii="宋体" w:hAnsi="宋体" w:eastAsia="宋体"/>
          <w:b/>
          <w:color w:val="auto"/>
          <w:sz w:val="24"/>
          <w:highlight w:val="none"/>
        </w:rPr>
        <w:t>结果</w:t>
      </w:r>
    </w:p>
    <w:p w14:paraId="27D87DA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779CEC7C">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1C89DCD5">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25</w:t>
      </w:r>
      <w:r>
        <w:rPr>
          <w:rFonts w:ascii="宋体" w:hAnsi="宋体" w:eastAsia="宋体"/>
          <w:b/>
          <w:color w:val="auto"/>
          <w:sz w:val="24"/>
          <w:highlight w:val="none"/>
        </w:rPr>
        <w:t>.履约保证金</w:t>
      </w:r>
      <w:r>
        <w:rPr>
          <w:rFonts w:hint="eastAsia" w:ascii="宋体" w:hAnsi="宋体" w:eastAsia="宋体"/>
          <w:b/>
          <w:color w:val="auto"/>
          <w:sz w:val="24"/>
          <w:highlight w:val="none"/>
        </w:rPr>
        <w:t>（本项目不采用）</w:t>
      </w:r>
    </w:p>
    <w:p w14:paraId="12D29F0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32F4364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C14BA1C">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26</w:t>
      </w:r>
      <w:r>
        <w:rPr>
          <w:rFonts w:ascii="宋体" w:hAnsi="宋体" w:eastAsia="宋体"/>
          <w:b/>
          <w:color w:val="auto"/>
          <w:sz w:val="24"/>
          <w:highlight w:val="none"/>
        </w:rPr>
        <w:t>.</w:t>
      </w:r>
      <w:r>
        <w:rPr>
          <w:rFonts w:hint="eastAsia" w:ascii="宋体" w:hAnsi="宋体" w:eastAsia="宋体"/>
          <w:b/>
          <w:color w:val="auto"/>
          <w:sz w:val="24"/>
          <w:highlight w:val="none"/>
        </w:rPr>
        <w:t>代理费用</w:t>
      </w:r>
    </w:p>
    <w:p w14:paraId="21F46D7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26</w:t>
      </w:r>
      <w:r>
        <w:rPr>
          <w:rFonts w:ascii="宋体" w:hAnsi="宋体" w:eastAsia="宋体"/>
          <w:color w:val="auto"/>
          <w:sz w:val="24"/>
          <w:highlight w:val="none"/>
        </w:rPr>
        <w:t>.1本项目</w:t>
      </w:r>
      <w:r>
        <w:rPr>
          <w:rFonts w:hint="eastAsia" w:ascii="宋体" w:hAnsi="宋体" w:eastAsia="宋体"/>
          <w:color w:val="auto"/>
          <w:sz w:val="24"/>
          <w:highlight w:val="none"/>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744E760D">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39EE233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1B34CF51">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.2</w:t>
      </w:r>
      <w:r>
        <w:rPr>
          <w:rFonts w:hint="eastAsia" w:ascii="宋体" w:hAnsi="宋体" w:eastAsia="宋体"/>
          <w:color w:val="auto"/>
          <w:sz w:val="24"/>
          <w:highlight w:val="none"/>
          <w:lang w:eastAsia="zh-CN"/>
        </w:rPr>
        <w:t>谈判</w:t>
      </w:r>
      <w:r>
        <w:rPr>
          <w:rFonts w:ascii="宋体" w:hAnsi="宋体" w:eastAsia="宋体"/>
          <w:color w:val="auto"/>
          <w:sz w:val="24"/>
          <w:highlight w:val="none"/>
        </w:rPr>
        <w:t>文件、成交供应商的响应文件及其澄清文件等，均为签订合同的依据。</w:t>
      </w:r>
    </w:p>
    <w:p w14:paraId="3E5843DE">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60593180">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17ED8C7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.1采购代理机构工作人员不得以不正当手段获取政府采购代理业务，不得与采购人、供应商恶意串通。</w:t>
      </w:r>
    </w:p>
    <w:p w14:paraId="5065AFC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6C2AF7FD">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142EABA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29.1供应商认为</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文件、采购过程和成交结果使自己的权益受到损害的，可以在知道或者应知其权益受到损害之日起七个工作日内，以书面形式向采购人或其委托的采购代理机构提出质疑。</w:t>
      </w:r>
    </w:p>
    <w:p w14:paraId="01C6B2C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29.2质疑供应商应按照财政部制定的《政府采购质疑函范本》格式（详见</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文件）和《政府采购质疑和投诉办法》的要求，在法定质疑期内以书面形式提出质疑，超出法定质疑期提交的质疑将被拒绝。针对同一采购程序环节的质疑应一次性提出。</w:t>
      </w:r>
    </w:p>
    <w:p w14:paraId="2BD6CFC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29.3采购代理机构质疑函接收部门、联系电话和通讯地址，见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116CC111">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30</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46715F25">
      <w:pPr>
        <w:spacing w:line="360" w:lineRule="auto"/>
        <w:ind w:firstLine="437"/>
        <w:outlineLvl w:val="2"/>
        <w:rPr>
          <w:rFonts w:hint="eastAsia" w:asciiTheme="minorEastAsia" w:hAnsiTheme="minorEastAsia" w:eastAsiaTheme="minorEastAsia"/>
          <w:b/>
          <w:color w:val="auto"/>
          <w:sz w:val="28"/>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r>
        <w:rPr>
          <w:rFonts w:asciiTheme="minorEastAsia" w:hAnsiTheme="minorEastAsia" w:eastAsiaTheme="minorEastAsia"/>
          <w:color w:val="auto"/>
          <w:sz w:val="24"/>
          <w:highlight w:val="none"/>
        </w:rPr>
        <w:br w:type="page"/>
      </w:r>
    </w:p>
    <w:p w14:paraId="4738A557">
      <w:pPr>
        <w:spacing w:line="360" w:lineRule="auto"/>
        <w:jc w:val="center"/>
        <w:outlineLvl w:val="0"/>
        <w:rPr>
          <w:rFonts w:hint="eastAsia" w:asciiTheme="minorEastAsia" w:hAnsiTheme="minorEastAsia" w:eastAsiaTheme="minorEastAsia"/>
          <w:b/>
          <w:color w:val="auto"/>
          <w:sz w:val="28"/>
          <w:highlight w:val="none"/>
        </w:rPr>
      </w:pPr>
      <w:bookmarkStart w:id="56" w:name="_Toc19440"/>
      <w:r>
        <w:rPr>
          <w:rFonts w:hint="eastAsia" w:asciiTheme="minorEastAsia" w:hAnsiTheme="minorEastAsia" w:eastAsiaTheme="minorEastAsia"/>
          <w:b/>
          <w:color w:val="auto"/>
          <w:sz w:val="28"/>
          <w:highlight w:val="none"/>
        </w:rPr>
        <w:t>第三章  采购需求</w:t>
      </w:r>
      <w:bookmarkEnd w:id="56"/>
    </w:p>
    <w:p w14:paraId="5D8B89E9">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199A3C2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1.本采购需求中提出的服务方案仅为参考，如无明确限制，供应商可以进行优化，提供满足采购人实际需要的更优（或者性能实质上不低于的）服务方案，且此方案须经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小组评审认可。</w:t>
      </w:r>
    </w:p>
    <w:p w14:paraId="2D3DA54D">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r>
        <w:rPr>
          <w:rFonts w:ascii="宋体" w:hAnsi="宋体" w:eastAsia="宋体" w:cs="宋体"/>
          <w:color w:val="auto"/>
          <w:sz w:val="24"/>
          <w:szCs w:val="24"/>
          <w:highlight w:val="none"/>
        </w:rPr>
        <w:t>（包括但不限于下列具体政策要求</w:t>
      </w:r>
      <w:r>
        <w:rPr>
          <w:rFonts w:hint="eastAsia" w:ascii="宋体" w:hAnsi="宋体" w:eastAsia="宋体" w:cs="宋体"/>
          <w:color w:val="auto"/>
          <w:sz w:val="24"/>
          <w:szCs w:val="24"/>
          <w:highlight w:val="none"/>
        </w:rPr>
        <w:t>）</w:t>
      </w:r>
      <w:r>
        <w:rPr>
          <w:rFonts w:hint="eastAsia" w:ascii="宋体" w:hAnsi="宋体" w:eastAsia="宋体"/>
          <w:color w:val="auto"/>
          <w:sz w:val="24"/>
          <w:szCs w:val="18"/>
          <w:highlight w:val="none"/>
        </w:rPr>
        <w:t>：</w:t>
      </w:r>
    </w:p>
    <w:p w14:paraId="7EE53F5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4A94D85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（2）如涉及商品包装和快递包装，供应商应当执行《关于印发〈商品包装政府采购需求标准（试行）〉、〈快递包装政府采购需求标准（试行）〉的通知》（财办库〔2020〕123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111311D4">
      <w:pPr>
        <w:spacing w:line="360" w:lineRule="auto"/>
        <w:ind w:firstLine="435"/>
        <w:rPr>
          <w:rFonts w:hint="eastAsia" w:asciiTheme="minorEastAsia" w:hAnsiTheme="minorEastAsia" w:eastAsiaTheme="minorEastAsia"/>
          <w:color w:val="auto"/>
          <w:sz w:val="24"/>
          <w:highlight w:val="none"/>
        </w:rPr>
      </w:pPr>
      <w:r>
        <w:rPr>
          <w:rFonts w:hint="eastAsia" w:ascii="宋体" w:hAnsi="宋体" w:eastAsia="宋体"/>
          <w:color w:val="auto"/>
          <w:sz w:val="24"/>
          <w:szCs w:val="18"/>
          <w:highlight w:val="none"/>
        </w:rPr>
        <w:t>3.如采购人允许采用分包方式履行合同的，应当明确可以分包履行的相关内容。</w:t>
      </w:r>
    </w:p>
    <w:p w14:paraId="4B1569AC">
      <w:pPr>
        <w:spacing w:line="360" w:lineRule="auto"/>
        <w:ind w:firstLine="437"/>
        <w:outlineLvl w:val="1"/>
        <w:rPr>
          <w:rFonts w:hint="eastAsia" w:ascii="宋体" w:hAnsi="宋体" w:eastAsia="宋体"/>
          <w:b/>
          <w:color w:val="auto"/>
          <w:sz w:val="24"/>
          <w:szCs w:val="18"/>
          <w:highlight w:val="none"/>
        </w:rPr>
      </w:pPr>
      <w:bookmarkStart w:id="57" w:name="_Toc26349"/>
      <w:bookmarkStart w:id="58" w:name="_Toc7699"/>
      <w:r>
        <w:rPr>
          <w:rFonts w:hint="eastAsia" w:ascii="宋体" w:hAnsi="宋体" w:eastAsia="宋体"/>
          <w:b/>
          <w:color w:val="auto"/>
          <w:sz w:val="24"/>
          <w:szCs w:val="18"/>
          <w:highlight w:val="none"/>
        </w:rPr>
        <w:t>采购需求前附表</w:t>
      </w:r>
      <w:bookmarkEnd w:id="57"/>
      <w:bookmarkEnd w:id="58"/>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2255"/>
        <w:gridCol w:w="6085"/>
      </w:tblGrid>
      <w:tr w14:paraId="3D99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90" w:type="pct"/>
            <w:vAlign w:val="center"/>
          </w:tcPr>
          <w:p w14:paraId="411E97CC">
            <w:pPr>
              <w:pStyle w:val="42"/>
              <w:pBdr>
                <w:bottom w:val="none" w:color="auto" w:sz="0" w:space="0"/>
              </w:pBdr>
              <w:tabs>
                <w:tab w:val="clear" w:pos="4153"/>
                <w:tab w:val="clear" w:pos="8306"/>
              </w:tabs>
              <w:adjustRightInd/>
              <w:spacing w:line="240" w:lineRule="auto"/>
              <w:textAlignment w:val="auto"/>
              <w:rPr>
                <w:rFonts w:hint="eastAsia" w:ascii="宋体" w:hAnsi="宋体" w:eastAsia="宋体"/>
                <w:b/>
                <w:color w:val="auto"/>
                <w:kern w:val="2"/>
                <w:highlight w:val="none"/>
              </w:rPr>
            </w:pPr>
            <w:bookmarkStart w:id="59" w:name="_Hlk16461016"/>
            <w:r>
              <w:rPr>
                <w:rFonts w:hint="eastAsia" w:ascii="宋体" w:hAnsi="宋体" w:eastAsia="宋体"/>
                <w:b/>
                <w:color w:val="auto"/>
                <w:kern w:val="2"/>
                <w:highlight w:val="none"/>
              </w:rPr>
              <w:t>序号</w:t>
            </w:r>
          </w:p>
        </w:tc>
        <w:tc>
          <w:tcPr>
            <w:tcW w:w="1192" w:type="pct"/>
            <w:vAlign w:val="center"/>
          </w:tcPr>
          <w:p w14:paraId="1E7E2692">
            <w:pPr>
              <w:pStyle w:val="41"/>
              <w:widowControl w:val="0"/>
              <w:spacing w:before="0" w:beforeAutospacing="0" w:after="0" w:afterAutospacing="0" w:line="360" w:lineRule="auto"/>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3F3D1497">
            <w:pPr>
              <w:pStyle w:val="41"/>
              <w:widowControl w:val="0"/>
              <w:spacing w:before="0" w:beforeAutospacing="0" w:after="0" w:afterAutospacing="0" w:line="360" w:lineRule="auto"/>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1237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4CEEDD5">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6C574A98">
            <w:pPr>
              <w:pStyle w:val="41"/>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7F7542F5">
            <w:pPr>
              <w:pStyle w:val="41"/>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cs="@仿宋_GB2312"/>
                <w:b w:val="0"/>
                <w:bCs w:val="0"/>
                <w:color w:val="auto"/>
                <w:kern w:val="2"/>
                <w:sz w:val="24"/>
                <w:szCs w:val="18"/>
                <w:highlight w:val="none"/>
                <w:u w:val="single"/>
                <w:lang w:val="en-US" w:eastAsia="zh-CN" w:bidi="ar-SA"/>
              </w:rPr>
              <w:t>签订合同并具备实施条件后支付合同总价40%预付款（预付款支付前，承包人须提供同等金额的见索即付保函），剩余款项待国赛完赛后一次性付清。</w:t>
            </w:r>
          </w:p>
        </w:tc>
      </w:tr>
      <w:tr w14:paraId="2C16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D78323D">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4613D12">
            <w:pPr>
              <w:pStyle w:val="41"/>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1E0B3D1E">
            <w:pPr>
              <w:pStyle w:val="41"/>
              <w:widowControl w:val="0"/>
              <w:spacing w:before="0" w:beforeAutospacing="0" w:after="0" w:afterAutospacing="0" w:line="360" w:lineRule="auto"/>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 xml:space="preserve">采购人指定地点 </w:t>
            </w:r>
          </w:p>
        </w:tc>
      </w:tr>
      <w:tr w14:paraId="4F5F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9EDB4D9">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color w:val="auto"/>
                <w:kern w:val="0"/>
                <w:sz w:val="24"/>
                <w:szCs w:val="24"/>
                <w:highlight w:val="none"/>
                <w:lang w:val="en-US" w:eastAsia="zh-CN" w:bidi="ar-SA"/>
                <w14:ligatures w14:val="none"/>
              </w:rPr>
            </w:pPr>
            <w:r>
              <w:rPr>
                <w:rFonts w:hint="eastAsia" w:ascii="宋体" w:hAnsi="宋体" w:eastAsia="宋体" w:cs="宋体"/>
                <w:color w:val="auto"/>
                <w:kern w:val="0"/>
                <w:sz w:val="24"/>
                <w:szCs w:val="24"/>
                <w:highlight w:val="none"/>
                <w:lang w:val="en-US" w:eastAsia="zh-CN" w:bidi="ar-SA"/>
                <w14:ligatures w14:val="none"/>
              </w:rPr>
              <w:t>3</w:t>
            </w:r>
          </w:p>
        </w:tc>
        <w:tc>
          <w:tcPr>
            <w:tcW w:w="1192" w:type="pct"/>
            <w:vAlign w:val="center"/>
          </w:tcPr>
          <w:p w14:paraId="7C3D62F9">
            <w:pPr>
              <w:pStyle w:val="41"/>
              <w:widowControl w:val="0"/>
              <w:spacing w:before="0" w:beforeAutospacing="0" w:after="0" w:afterAutospacing="0" w:line="360" w:lineRule="auto"/>
              <w:rPr>
                <w:rFonts w:hint="eastAsia" w:ascii="宋体" w:hAnsi="宋体" w:eastAsia="宋体" w:cs="宋体"/>
                <w:color w:val="auto"/>
                <w:kern w:val="0"/>
                <w:sz w:val="24"/>
                <w:szCs w:val="24"/>
                <w:highlight w:val="none"/>
                <w:lang w:val="en-US" w:eastAsia="zh-CN" w:bidi="ar-SA"/>
                <w14:ligatures w14:val="none"/>
              </w:rPr>
            </w:pPr>
            <w:r>
              <w:rPr>
                <w:rFonts w:hint="eastAsia" w:ascii="宋体" w:hAnsi="宋体" w:eastAsia="宋体" w:cs="宋体"/>
                <w:color w:val="auto"/>
                <w:kern w:val="0"/>
                <w:sz w:val="24"/>
                <w:szCs w:val="24"/>
                <w:highlight w:val="none"/>
                <w:lang w:val="en-US" w:eastAsia="zh-CN" w:bidi="ar-SA"/>
                <w14:ligatures w14:val="none"/>
              </w:rPr>
              <w:t>服务期限</w:t>
            </w:r>
          </w:p>
        </w:tc>
        <w:tc>
          <w:tcPr>
            <w:tcW w:w="3217" w:type="pct"/>
            <w:vAlign w:val="center"/>
          </w:tcPr>
          <w:p w14:paraId="770A24A2">
            <w:pPr>
              <w:spacing w:line="360" w:lineRule="auto"/>
              <w:rPr>
                <w:rFonts w:hint="default" w:ascii="宋体" w:hAnsi="宋体" w:eastAsia="宋体" w:cs="宋体"/>
                <w:color w:val="auto"/>
                <w:kern w:val="0"/>
                <w:sz w:val="24"/>
                <w:szCs w:val="24"/>
                <w:highlight w:val="none"/>
                <w:lang w:val="en-US" w:eastAsia="zh-CN" w:bidi="ar-SA"/>
                <w14:ligatures w14:val="none"/>
              </w:rPr>
            </w:pPr>
            <w:r>
              <w:rPr>
                <w:rFonts w:hint="eastAsia" w:ascii="宋体" w:hAnsi="宋体" w:eastAsia="宋体"/>
                <w:color w:val="auto"/>
                <w:sz w:val="24"/>
                <w:szCs w:val="18"/>
                <w:highlight w:val="none"/>
                <w:u w:val="single"/>
                <w:lang w:val="en-US" w:eastAsia="zh-CN"/>
              </w:rPr>
              <w:t>本项目所有线下培训于2025年8月15日前完成（具体根据大赛时间做适当调整）。</w:t>
            </w:r>
          </w:p>
        </w:tc>
      </w:tr>
    </w:tbl>
    <w:p w14:paraId="4159A6E8">
      <w:pPr>
        <w:spacing w:line="360" w:lineRule="auto"/>
        <w:ind w:firstLine="480" w:firstLineChars="200"/>
        <w:rPr>
          <w:rFonts w:hint="eastAsia" w:ascii="宋体" w:hAnsi="宋体" w:eastAsia="宋体" w:cs="宋体"/>
          <w:color w:val="auto"/>
          <w:kern w:val="0"/>
          <w:sz w:val="24"/>
          <w:szCs w:val="24"/>
          <w:highlight w:val="none"/>
          <w:lang w:val="en-US" w:eastAsia="zh-CN" w:bidi="ar-SA"/>
          <w14:ligatures w14:val="none"/>
        </w:rPr>
      </w:pPr>
      <w:bookmarkStart w:id="60" w:name="_Toc25144"/>
      <w:bookmarkStart w:id="61" w:name="_Toc23116"/>
    </w:p>
    <w:p w14:paraId="11CB9512">
      <w:pPr>
        <w:spacing w:line="360" w:lineRule="auto"/>
        <w:ind w:firstLine="480" w:firstLineChars="200"/>
        <w:rPr>
          <w:rFonts w:hint="eastAsia" w:ascii="宋体" w:hAnsi="宋体" w:eastAsia="宋体" w:cs="宋体"/>
          <w:color w:val="auto"/>
          <w:kern w:val="0"/>
          <w:sz w:val="24"/>
          <w:szCs w:val="24"/>
          <w:highlight w:val="none"/>
          <w:lang w:val="en-US" w:eastAsia="zh-CN" w:bidi="ar-SA"/>
          <w14:ligatures w14:val="none"/>
        </w:rPr>
      </w:pPr>
    </w:p>
    <w:p w14:paraId="49646007">
      <w:pPr>
        <w:spacing w:line="360" w:lineRule="auto"/>
        <w:ind w:firstLine="480" w:firstLineChars="200"/>
        <w:rPr>
          <w:rFonts w:hint="eastAsia" w:ascii="宋体" w:hAnsi="宋体" w:eastAsia="宋体" w:cs="宋体"/>
          <w:color w:val="auto"/>
          <w:kern w:val="0"/>
          <w:sz w:val="24"/>
          <w:szCs w:val="24"/>
          <w:highlight w:val="none"/>
          <w:lang w:val="en-US" w:eastAsia="zh-CN" w:bidi="ar-SA"/>
          <w14:ligatures w14:val="none"/>
        </w:rPr>
      </w:pPr>
    </w:p>
    <w:p w14:paraId="688FBCAC">
      <w:pPr>
        <w:spacing w:line="360" w:lineRule="auto"/>
        <w:ind w:firstLine="480" w:firstLineChars="200"/>
        <w:rPr>
          <w:rFonts w:hint="eastAsia" w:ascii="宋体" w:hAnsi="宋体" w:eastAsia="宋体" w:cs="宋体"/>
          <w:color w:val="auto"/>
          <w:kern w:val="0"/>
          <w:sz w:val="24"/>
          <w:szCs w:val="24"/>
          <w:highlight w:val="none"/>
          <w:lang w:val="en-US" w:eastAsia="zh-CN" w:bidi="ar-SA"/>
          <w14:ligatures w14:val="none"/>
        </w:rPr>
      </w:pPr>
    </w:p>
    <w:p w14:paraId="6AD6B495">
      <w:pPr>
        <w:spacing w:line="360" w:lineRule="auto"/>
        <w:ind w:firstLine="480" w:firstLineChars="200"/>
        <w:rPr>
          <w:rFonts w:hint="eastAsia" w:ascii="宋体" w:hAnsi="宋体" w:eastAsia="宋体" w:cs="宋体"/>
          <w:color w:val="auto"/>
          <w:kern w:val="0"/>
          <w:sz w:val="24"/>
          <w:szCs w:val="24"/>
          <w:highlight w:val="none"/>
          <w:lang w:val="en-US" w:eastAsia="zh-CN" w:bidi="ar-SA"/>
          <w14:ligatures w14:val="none"/>
        </w:rPr>
      </w:pPr>
    </w:p>
    <w:p w14:paraId="0BB93F81">
      <w:pPr>
        <w:spacing w:line="360" w:lineRule="auto"/>
        <w:rPr>
          <w:rFonts w:hint="eastAsia" w:ascii="宋体" w:hAnsi="宋体" w:eastAsia="宋体" w:cs="宋体"/>
          <w:color w:val="auto"/>
          <w:kern w:val="0"/>
          <w:sz w:val="24"/>
          <w:szCs w:val="24"/>
          <w:highlight w:val="none"/>
          <w:lang w:val="en-US" w:eastAsia="zh-CN" w:bidi="ar-SA"/>
          <w14:ligatures w14:val="none"/>
        </w:rPr>
      </w:pPr>
    </w:p>
    <w:p w14:paraId="24D7A04B">
      <w:pPr>
        <w:spacing w:line="480" w:lineRule="auto"/>
        <w:ind w:firstLine="241" w:firstLineChars="100"/>
        <w:rPr>
          <w:rFonts w:hint="eastAsia" w:asciiTheme="minorEastAsia" w:hAnsiTheme="minorEastAsia" w:eastAsiaTheme="minorEastAsia" w:cstheme="minorEastAsia"/>
          <w:b/>
          <w:bCs/>
          <w:color w:val="auto"/>
          <w:kern w:val="0"/>
          <w:sz w:val="24"/>
          <w:szCs w:val="24"/>
          <w:highlight w:val="none"/>
          <w:u w:color="000000"/>
          <w:lang w:val="en-US" w:eastAsia="zh-CN" w:bidi="ar-SA"/>
          <w14:ligatures w14:val="none"/>
        </w:rPr>
      </w:pPr>
      <w:r>
        <w:rPr>
          <w:rFonts w:hint="eastAsia" w:asciiTheme="minorEastAsia" w:hAnsiTheme="minorEastAsia" w:eastAsiaTheme="minorEastAsia" w:cstheme="minorEastAsia"/>
          <w:b/>
          <w:bCs/>
          <w:color w:val="auto"/>
          <w:kern w:val="0"/>
          <w:sz w:val="24"/>
          <w:szCs w:val="24"/>
          <w:highlight w:val="none"/>
          <w:u w:color="000000"/>
          <w:lang w:val="en-US" w:eastAsia="zh-CN" w:bidi="ar-SA"/>
          <w14:ligatures w14:val="none"/>
        </w:rPr>
        <w:t>一、</w:t>
      </w:r>
      <w:bookmarkEnd w:id="59"/>
      <w:bookmarkEnd w:id="60"/>
      <w:bookmarkEnd w:id="61"/>
      <w:bookmarkStart w:id="62" w:name="_Toc449028945"/>
      <w:bookmarkStart w:id="63" w:name="_Toc58430329"/>
      <w:r>
        <w:rPr>
          <w:rFonts w:hint="eastAsia" w:asciiTheme="minorEastAsia" w:hAnsiTheme="minorEastAsia" w:eastAsiaTheme="minorEastAsia" w:cstheme="minorEastAsia"/>
          <w:b/>
          <w:bCs/>
          <w:color w:val="auto"/>
          <w:kern w:val="0"/>
          <w:sz w:val="24"/>
          <w:szCs w:val="24"/>
          <w:highlight w:val="none"/>
          <w:u w:color="000000"/>
          <w:lang w:val="en-US" w:eastAsia="zh-CN" w:bidi="ar-SA"/>
          <w14:ligatures w14:val="none"/>
        </w:rPr>
        <w:t>服务内容：</w:t>
      </w:r>
      <w:bookmarkEnd w:id="62"/>
      <w:bookmarkEnd w:id="63"/>
      <w:bookmarkStart w:id="64" w:name="_Toc8668"/>
    </w:p>
    <w:p w14:paraId="0C230D1D">
      <w:pPr>
        <w:spacing w:line="480" w:lineRule="auto"/>
        <w:ind w:right="31" w:rightChars="1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1、需提供至少包含但不限于sql server、OCR、AI、python、power bi和uipath等多种信息技术工具的竞赛方向应用能力培训。</w:t>
      </w:r>
    </w:p>
    <w:p w14:paraId="2E604695">
      <w:pPr>
        <w:spacing w:line="480" w:lineRule="auto"/>
        <w:ind w:right="31" w:rightChars="1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2、专业技能培训可采用线上结合线下培训的方式，但线下培训时长不少于4次现场指导（36课时）,1课时为60分钟；线上培训辅导持续到世赛争夺赛结束当日。</w:t>
      </w:r>
    </w:p>
    <w:p w14:paraId="5874B489">
      <w:pPr>
        <w:spacing w:line="480" w:lineRule="auto"/>
        <w:ind w:right="31" w:rightChars="1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完成至少可应用于2025年全国职业技能大赛世赛争夺赛中职组财经赛道的参赛项目方案，项目定稿后需完成整体PPT制作及美化和各岗位演讲稿设计；提供从备赛到完赛全方位全流程跟踪指导服务，完成大赛现场的技术支持（含服务器等设施设备）与赛项相关支持。</w:t>
      </w:r>
    </w:p>
    <w:p w14:paraId="61000BA9">
      <w:pPr>
        <w:spacing w:line="480" w:lineRule="auto"/>
        <w:ind w:right="31" w:rightChars="1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4、对学生结合项目的技能与素养展现能力进行专业性形象指导,完成从服装选择、进场设计、项目背景介绍、项目思路汇报、技能展示环节、应用价值展现、团队合作、创新创意等多个环节的细化培训。</w:t>
      </w:r>
    </w:p>
    <w:p w14:paraId="2C58FB33">
      <w:pPr>
        <w:spacing w:line="480" w:lineRule="auto"/>
        <w:ind w:right="31" w:rightChars="1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项目在实施过程中需及时与采购人进行沟通</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协调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进行实时修改）</w:t>
      </w:r>
      <w:r>
        <w:rPr>
          <w:rFonts w:hint="eastAsia" w:asciiTheme="minorEastAsia" w:hAnsiTheme="minorEastAsia" w:eastAsiaTheme="minorEastAsia" w:cstheme="minorEastAsia"/>
          <w:color w:val="auto"/>
          <w:sz w:val="24"/>
          <w:szCs w:val="24"/>
          <w:highlight w:val="none"/>
        </w:rPr>
        <w:t>，最终作品呈现需由采购方认可确定后方可定稿</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以保障服务内容达到参赛标准。</w:t>
      </w:r>
    </w:p>
    <w:p w14:paraId="20E7A0E6">
      <w:pPr>
        <w:spacing w:line="480" w:lineRule="auto"/>
        <w:ind w:right="31" w:rightChars="1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、任务基本进度表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1"/>
        <w:gridCol w:w="6195"/>
      </w:tblGrid>
      <w:tr w14:paraId="5405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14:paraId="74A120B5">
            <w:pPr>
              <w:spacing w:line="480" w:lineRule="auto"/>
              <w:ind w:right="31" w:rightChars="15"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培训时间</w:t>
            </w:r>
          </w:p>
        </w:tc>
        <w:tc>
          <w:tcPr>
            <w:tcW w:w="6195" w:type="dxa"/>
          </w:tcPr>
          <w:p w14:paraId="0D93084D">
            <w:pPr>
              <w:spacing w:line="480" w:lineRule="auto"/>
              <w:ind w:right="31" w:rightChars="15"/>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培训内容</w:t>
            </w:r>
          </w:p>
        </w:tc>
      </w:tr>
      <w:tr w14:paraId="607F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2101" w:type="dxa"/>
          </w:tcPr>
          <w:p w14:paraId="1E41529D">
            <w:pPr>
              <w:spacing w:line="480" w:lineRule="auto"/>
              <w:ind w:right="31" w:rightChars="15"/>
              <w:jc w:val="left"/>
              <w:rPr>
                <w:rFonts w:hint="eastAsia" w:asciiTheme="minorEastAsia" w:hAnsiTheme="minorEastAsia" w:eastAsiaTheme="minorEastAsia" w:cstheme="minorEastAsia"/>
                <w:color w:val="auto"/>
                <w:sz w:val="24"/>
                <w:szCs w:val="24"/>
                <w:highlight w:val="none"/>
                <w:lang w:val="en-US" w:eastAsia="zh-CN"/>
              </w:rPr>
            </w:pPr>
          </w:p>
          <w:p w14:paraId="3CE4FBAF">
            <w:pPr>
              <w:spacing w:line="480" w:lineRule="auto"/>
              <w:ind w:right="31" w:rightChars="1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合同签订之日起至</w:t>
            </w:r>
            <w:r>
              <w:rPr>
                <w:rFonts w:hint="eastAsia" w:asciiTheme="minorEastAsia" w:hAnsiTheme="minorEastAsia" w:eastAsiaTheme="minorEastAsia" w:cstheme="minorEastAsia"/>
                <w:color w:val="auto"/>
                <w:sz w:val="24"/>
                <w:szCs w:val="24"/>
                <w:highlight w:val="none"/>
              </w:rPr>
              <w:t>2025年全国职业技能大赛世赛争夺赛</w:t>
            </w:r>
            <w:r>
              <w:rPr>
                <w:rFonts w:hint="eastAsia" w:asciiTheme="minorEastAsia" w:hAnsiTheme="minorEastAsia" w:eastAsiaTheme="minorEastAsia" w:cstheme="minorEastAsia"/>
                <w:color w:val="auto"/>
                <w:sz w:val="24"/>
                <w:szCs w:val="24"/>
                <w:highlight w:val="none"/>
                <w:lang w:val="en-US" w:eastAsia="zh-CN"/>
              </w:rPr>
              <w:t>结束</w:t>
            </w:r>
          </w:p>
        </w:tc>
        <w:tc>
          <w:tcPr>
            <w:tcW w:w="6195" w:type="dxa"/>
          </w:tcPr>
          <w:p w14:paraId="2EB64096">
            <w:pPr>
              <w:spacing w:line="480" w:lineRule="auto"/>
              <w:ind w:right="31" w:rightChars="15"/>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Python运用爬虫工具获取数据</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Python Pandas运用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Pandas 数据清洗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Pandas 数据分组聚合</w:t>
            </w:r>
            <w:r>
              <w:rPr>
                <w:rFonts w:hint="eastAsia" w:asciiTheme="minorEastAsia" w:hAnsiTheme="minorEastAsia" w:eastAsiaTheme="minorEastAsia" w:cstheme="minorEastAsia"/>
                <w:color w:val="auto"/>
                <w:sz w:val="24"/>
                <w:szCs w:val="24"/>
                <w:highlight w:val="none"/>
                <w:lang w:eastAsia="zh-CN"/>
              </w:rPr>
              <w:t>、</w:t>
            </w:r>
          </w:p>
          <w:p w14:paraId="2E331EA4">
            <w:pPr>
              <w:spacing w:line="480" w:lineRule="auto"/>
              <w:ind w:right="31" w:rightChars="15"/>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Pandas数据透视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行业财务指标分析</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多维度盈利能力分析</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企业财务报表分析</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Power Bl-数据获取</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Power Query-数据清理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Power Pivot-数据建模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DAX筛选器函数时间智能函数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其他常用函数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可视化视图对象(一)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可视化数据报表</w:t>
            </w:r>
            <w:r>
              <w:rPr>
                <w:rFonts w:hint="eastAsia" w:asciiTheme="minorEastAsia" w:hAnsiTheme="minorEastAsia" w:eastAsiaTheme="minorEastAsia" w:cstheme="minorEastAsia"/>
                <w:color w:val="auto"/>
                <w:sz w:val="24"/>
                <w:szCs w:val="24"/>
                <w:highlight w:val="none"/>
                <w:lang w:eastAsia="zh-CN"/>
              </w:rPr>
              <w:t>、</w:t>
            </w:r>
          </w:p>
          <w:p w14:paraId="7690196C">
            <w:pPr>
              <w:spacing w:line="480" w:lineRule="auto"/>
              <w:ind w:right="31" w:rightChars="15"/>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RPA财务机器人Excel应用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RPA财务机器人Web应用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RPA财务机器人实战开发</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AI+RPA融合应用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数字资产估值</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证券投资的风险与收益分析</w:t>
            </w:r>
            <w:r>
              <w:rPr>
                <w:rFonts w:hint="eastAsia" w:asciiTheme="minorEastAsia" w:hAnsiTheme="minorEastAsia" w:eastAsiaTheme="minorEastAsia" w:cstheme="minorEastAsia"/>
                <w:color w:val="auto"/>
                <w:sz w:val="24"/>
                <w:szCs w:val="24"/>
                <w:highlight w:val="none"/>
                <w:lang w:eastAsia="zh-CN"/>
              </w:rPr>
              <w:t>、</w:t>
            </w:r>
          </w:p>
          <w:p w14:paraId="16740865">
            <w:pPr>
              <w:spacing w:line="480" w:lineRule="auto"/>
              <w:ind w:right="31" w:rightChars="1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模型应用设计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形象培训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展现培训</w:t>
            </w:r>
          </w:p>
        </w:tc>
      </w:tr>
    </w:tbl>
    <w:p w14:paraId="6F0654D5">
      <w:pPr>
        <w:spacing w:line="480" w:lineRule="auto"/>
        <w:ind w:right="31" w:rightChars="15"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另：具体进度根据大赛比赛时间和实际实施情况进行调整。</w:t>
      </w:r>
    </w:p>
    <w:p w14:paraId="122E99D8">
      <w:pPr>
        <w:spacing w:line="480" w:lineRule="auto"/>
        <w:ind w:right="31" w:rightChars="15"/>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二、训练平台(租用)基本内容</w:t>
      </w:r>
    </w:p>
    <w:p w14:paraId="7ED38DF8">
      <w:pPr>
        <w:spacing w:line="480" w:lineRule="auto"/>
        <w:ind w:right="31" w:rightChars="1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1、财务大数据分析平台</w:t>
      </w:r>
    </w:p>
    <w:p w14:paraId="292C4E9D">
      <w:pPr>
        <w:spacing w:line="480" w:lineRule="auto"/>
        <w:ind w:right="31" w:rightChars="1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基于财务大数据应用场景按成；财务大数据分析流程；大数据时代下基于财务指标的分析；大数据时代下的采购管理与决策；大数据时代下的销售分析与管理；大数据时代下的资金分析与管理；大数据时代下的费用分析与决策等。</w:t>
      </w:r>
    </w:p>
    <w:p w14:paraId="55AD7FE9">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2、数据库基础课程平台</w:t>
      </w:r>
    </w:p>
    <w:p w14:paraId="5D35AD1F">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MySQL数据库为基础，通过SQL语句创建数据库、数据表，在数据库中插入、修改、删除、查询数据等，培养学生利用数据库技术进行数据管理、利用、分析及表达的能力，培养学生积极探索新技术、新方法的理念，养成利用信息技术解决问题的思维习惯。</w:t>
      </w:r>
    </w:p>
    <w:p w14:paraId="4DC56D50">
      <w:pPr>
        <w:spacing w:line="480" w:lineRule="auto"/>
        <w:ind w:right="31" w:rightChars="1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3、大数据技术应用基础课程平台</w:t>
      </w:r>
    </w:p>
    <w:p w14:paraId="0F1B38CA">
      <w:pPr>
        <w:spacing w:line="480" w:lineRule="auto"/>
        <w:ind w:right="31" w:rightChars="1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利用大数据技术应用基础平台（基于Python）开展实训，让学生充分了解、熟悉和掌握财务大数据分析相关的原理、特点、基本知识和基本技能，明确企业实务中财务大数据分析可以应用于哪些领域和环节，认识到企业实务中财务大数据分析工作的内容。</w:t>
      </w:r>
    </w:p>
    <w:p w14:paraId="40F572D1">
      <w:pPr>
        <w:spacing w:line="480" w:lineRule="auto"/>
        <w:ind w:right="31" w:rightChars="1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4、RPA在业财税领域的应用实训平台</w:t>
      </w:r>
    </w:p>
    <w:p w14:paraId="679D948A">
      <w:pPr>
        <w:spacing w:line="480" w:lineRule="auto"/>
        <w:ind w:right="31" w:rightChars="1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财务机器人应用与开发平台围绕RPA在财税领域的应用，从走进RPA财务机器人世界、UiPath基础认知，到RPA财务机器人在Excel、Email与Web环境中的应用，然后进阶RPA财务机器人实战开发，最后拓展RPA财务机器人部署与运维。</w:t>
      </w:r>
    </w:p>
    <w:p w14:paraId="5D64208B">
      <w:pPr>
        <w:spacing w:line="480" w:lineRule="auto"/>
        <w:ind w:right="31" w:rightChars="1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另：根据方案设计内容租用涉及到的其他相关平台。</w:t>
      </w:r>
    </w:p>
    <w:p w14:paraId="757CEE6C">
      <w:pPr>
        <w:spacing w:line="480" w:lineRule="auto"/>
        <w:ind w:right="31" w:rightChars="15"/>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三、培训时间</w:t>
      </w:r>
    </w:p>
    <w:p w14:paraId="28056F7E">
      <w:pPr>
        <w:spacing w:line="480" w:lineRule="auto"/>
        <w:ind w:right="31" w:rightChars="1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1、本项目所有线下培训于2025年8月15日前完成（具体根据大赛时间做适当调整）。</w:t>
      </w:r>
    </w:p>
    <w:p w14:paraId="6631624B">
      <w:pPr>
        <w:spacing w:line="480" w:lineRule="auto"/>
        <w:ind w:right="31" w:rightChars="1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2、双方需提前协商确定培训时间和培训内容，如有变动，需提前3天告知对方，双方协商解决。</w:t>
      </w:r>
    </w:p>
    <w:p w14:paraId="35B09DA5">
      <w:pPr>
        <w:pStyle w:val="3"/>
        <w:spacing w:line="360" w:lineRule="auto"/>
        <w:ind w:firstLine="241" w:firstLineChars="100"/>
        <w:rPr>
          <w:rFonts w:hint="eastAsia" w:asciiTheme="minorEastAsia" w:hAnsiTheme="minorEastAsia" w:eastAsiaTheme="minorEastAsia" w:cstheme="minorEastAsia"/>
          <w:color w:val="auto"/>
          <w:kern w:val="0"/>
          <w:sz w:val="24"/>
          <w:szCs w:val="24"/>
          <w:highlight w:val="none"/>
          <w:u w:color="000000"/>
          <w:lang w:val="en-US" w:eastAsia="zh-CN"/>
          <w14:ligatures w14:val="none"/>
        </w:rPr>
      </w:pPr>
      <w:r>
        <w:rPr>
          <w:rFonts w:hint="eastAsia" w:asciiTheme="minorEastAsia" w:hAnsiTheme="minorEastAsia" w:eastAsiaTheme="minorEastAsia" w:cstheme="minorEastAsia"/>
          <w:color w:val="auto"/>
          <w:kern w:val="0"/>
          <w:sz w:val="24"/>
          <w:szCs w:val="24"/>
          <w:highlight w:val="none"/>
          <w:u w:color="000000"/>
          <w:lang w:val="en-US" w:eastAsia="zh-CN"/>
          <w14:ligatures w14:val="none"/>
        </w:rPr>
        <w:t>四、</w:t>
      </w:r>
      <w:r>
        <w:rPr>
          <w:rFonts w:hint="eastAsia" w:asciiTheme="minorEastAsia" w:hAnsiTheme="minorEastAsia" w:eastAsiaTheme="minorEastAsia" w:cstheme="minorEastAsia"/>
          <w:color w:val="auto"/>
          <w:kern w:val="0"/>
          <w:sz w:val="24"/>
          <w:szCs w:val="24"/>
          <w:highlight w:val="none"/>
          <w:u w:color="000000"/>
          <w14:ligatures w14:val="none"/>
        </w:rPr>
        <w:t>报价要求</w:t>
      </w:r>
      <w:r>
        <w:rPr>
          <w:rFonts w:hint="eastAsia" w:asciiTheme="minorEastAsia" w:hAnsiTheme="minorEastAsia" w:eastAsiaTheme="minorEastAsia" w:cstheme="minorEastAsia"/>
          <w:color w:val="auto"/>
          <w:kern w:val="0"/>
          <w:sz w:val="24"/>
          <w:szCs w:val="24"/>
          <w:highlight w:val="none"/>
          <w:u w:color="000000"/>
          <w:lang w:val="en-US" w:eastAsia="zh-CN"/>
          <w14:ligatures w14:val="none"/>
        </w:rPr>
        <w:t xml:space="preserve"> </w:t>
      </w:r>
    </w:p>
    <w:p w14:paraId="1EC73533">
      <w:pPr>
        <w:widowControl/>
        <w:spacing w:line="360" w:lineRule="auto"/>
        <w:ind w:firstLine="42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14:ligatures w14:val="none"/>
        </w:rPr>
        <w:t>本包项目报总价</w:t>
      </w:r>
      <w:r>
        <w:rPr>
          <w:rFonts w:hint="eastAsia" w:asciiTheme="minorEastAsia" w:hAnsiTheme="minorEastAsia" w:eastAsiaTheme="minorEastAsia" w:cstheme="minorEastAsia"/>
          <w:color w:val="auto"/>
          <w:spacing w:val="-48"/>
          <w:kern w:val="0"/>
          <w:sz w:val="24"/>
          <w:szCs w:val="24"/>
          <w:highlight w:val="none"/>
          <w14:ligatures w14:val="none"/>
        </w:rPr>
        <w:t>，</w:t>
      </w:r>
      <w:r>
        <w:rPr>
          <w:rFonts w:hint="eastAsia" w:asciiTheme="minorEastAsia" w:hAnsiTheme="minorEastAsia" w:eastAsiaTheme="minorEastAsia" w:cstheme="minorEastAsia"/>
          <w:color w:val="auto"/>
          <w:kern w:val="0"/>
          <w:sz w:val="24"/>
          <w:szCs w:val="24"/>
          <w:highlight w:val="none"/>
          <w14:ligatures w14:val="none"/>
        </w:rPr>
        <w:t>报价包含完成本包项目所需一切费用</w:t>
      </w:r>
      <w:r>
        <w:rPr>
          <w:rFonts w:hint="eastAsia" w:asciiTheme="minorEastAsia" w:hAnsiTheme="minorEastAsia" w:eastAsiaTheme="minorEastAsia" w:cstheme="minorEastAsia"/>
          <w:color w:val="auto"/>
          <w:spacing w:val="-46"/>
          <w:kern w:val="0"/>
          <w:sz w:val="24"/>
          <w:szCs w:val="24"/>
          <w:highlight w:val="none"/>
          <w14:ligatures w14:val="none"/>
        </w:rPr>
        <w:t>，</w:t>
      </w:r>
      <w:r>
        <w:rPr>
          <w:rFonts w:hint="eastAsia" w:asciiTheme="minorEastAsia" w:hAnsiTheme="minorEastAsia" w:eastAsiaTheme="minorEastAsia" w:cstheme="minorEastAsia"/>
          <w:color w:val="auto"/>
          <w:kern w:val="0"/>
          <w:sz w:val="24"/>
          <w:szCs w:val="24"/>
          <w:highlight w:val="none"/>
          <w14:ligatures w14:val="none"/>
        </w:rPr>
        <w:t>采购人后期不再另行追加费用。</w:t>
      </w:r>
    </w:p>
    <w:p w14:paraId="14B7C6CF">
      <w:pPr>
        <w:spacing w:line="360" w:lineRule="auto"/>
        <w:jc w:val="both"/>
        <w:outlineLvl w:val="0"/>
        <w:rPr>
          <w:rFonts w:hint="eastAsia" w:asciiTheme="minorEastAsia" w:hAnsiTheme="minorEastAsia" w:eastAsiaTheme="minorEastAsia"/>
          <w:b/>
          <w:color w:val="auto"/>
          <w:sz w:val="28"/>
          <w:highlight w:val="none"/>
        </w:rPr>
      </w:pPr>
    </w:p>
    <w:p w14:paraId="404491C8">
      <w:pPr>
        <w:spacing w:line="360" w:lineRule="auto"/>
        <w:ind w:firstLine="2530" w:firstLineChars="900"/>
        <w:jc w:val="both"/>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64"/>
    </w:p>
    <w:p w14:paraId="6AB84851">
      <w:pPr>
        <w:spacing w:line="360" w:lineRule="auto"/>
        <w:ind w:firstLine="437"/>
        <w:outlineLvl w:val="1"/>
        <w:rPr>
          <w:rFonts w:hint="eastAsia" w:asciiTheme="minorEastAsia" w:hAnsiTheme="minorEastAsia" w:eastAsiaTheme="minorEastAsia"/>
          <w:b/>
          <w:color w:val="auto"/>
          <w:sz w:val="24"/>
          <w:highlight w:val="none"/>
        </w:rPr>
      </w:pPr>
      <w:bookmarkStart w:id="65" w:name="_Toc21211"/>
      <w:bookmarkStart w:id="66" w:name="_Toc12199"/>
      <w:r>
        <w:rPr>
          <w:rFonts w:hint="eastAsia" w:asciiTheme="minorEastAsia" w:hAnsiTheme="minorEastAsia" w:eastAsiaTheme="minorEastAsia"/>
          <w:b/>
          <w:color w:val="auto"/>
          <w:sz w:val="24"/>
          <w:highlight w:val="none"/>
        </w:rPr>
        <w:t>一、总则</w:t>
      </w:r>
      <w:bookmarkEnd w:id="65"/>
      <w:bookmarkEnd w:id="66"/>
    </w:p>
    <w:p w14:paraId="4DA544C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F54D498">
      <w:pPr>
        <w:spacing w:line="360" w:lineRule="auto"/>
        <w:ind w:firstLine="437"/>
        <w:outlineLvl w:val="1"/>
        <w:rPr>
          <w:rFonts w:hint="eastAsia" w:asciiTheme="minorEastAsia" w:hAnsiTheme="minorEastAsia" w:eastAsiaTheme="minorEastAsia"/>
          <w:b/>
          <w:color w:val="auto"/>
          <w:sz w:val="24"/>
          <w:highlight w:val="none"/>
        </w:rPr>
      </w:pPr>
      <w:bookmarkStart w:id="67" w:name="_Toc16885"/>
      <w:bookmarkStart w:id="68" w:name="_Toc13039"/>
      <w:r>
        <w:rPr>
          <w:rFonts w:hint="eastAsia" w:asciiTheme="minorEastAsia" w:hAnsiTheme="minorEastAsia" w:eastAsiaTheme="minorEastAsia"/>
          <w:b/>
          <w:color w:val="auto"/>
          <w:sz w:val="24"/>
          <w:highlight w:val="none"/>
        </w:rPr>
        <w:t>二、评审方法</w:t>
      </w:r>
      <w:bookmarkEnd w:id="67"/>
      <w:bookmarkEnd w:id="68"/>
    </w:p>
    <w:p w14:paraId="03353924">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4FEA256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小组对供应商的响应文件进行初审，以确定其是否满足</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文件的实质性要求。初审表如下：</w:t>
      </w:r>
    </w:p>
    <w:tbl>
      <w:tblPr>
        <w:tblStyle w:val="23"/>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831"/>
        <w:gridCol w:w="4427"/>
        <w:gridCol w:w="2740"/>
      </w:tblGrid>
      <w:tr w14:paraId="0F79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12689B6">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b/>
                <w:color w:val="auto"/>
                <w:sz w:val="24"/>
                <w:szCs w:val="22"/>
                <w:highlight w:val="none"/>
              </w:rPr>
              <w:t>初审表</w:t>
            </w:r>
          </w:p>
        </w:tc>
      </w:tr>
      <w:tr w14:paraId="3BB2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vAlign w:val="center"/>
          </w:tcPr>
          <w:p w14:paraId="7B8879AF">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0D5C18EC">
            <w:pPr>
              <w:pStyle w:val="42"/>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277" w:type="pct"/>
            <w:tcBorders>
              <w:bottom w:val="single" w:color="auto" w:sz="4" w:space="0"/>
            </w:tcBorders>
            <w:vAlign w:val="center"/>
          </w:tcPr>
          <w:p w14:paraId="0FDF2446">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407" w:type="pct"/>
            <w:tcBorders>
              <w:bottom w:val="single" w:color="auto" w:sz="4" w:space="0"/>
            </w:tcBorders>
            <w:vAlign w:val="center"/>
          </w:tcPr>
          <w:p w14:paraId="6B3548E3">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84C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372" w:type="pct"/>
            <w:tcBorders>
              <w:bottom w:val="single" w:color="auto" w:sz="4" w:space="0"/>
            </w:tcBorders>
            <w:vAlign w:val="center"/>
          </w:tcPr>
          <w:p w14:paraId="7836BB0A">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4C74F20A">
            <w:pPr>
              <w:spacing w:after="50" w:line="360" w:lineRule="auto"/>
              <w:ind w:right="-10"/>
              <w:jc w:val="center"/>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277" w:type="pct"/>
            <w:tcBorders>
              <w:bottom w:val="single" w:color="auto" w:sz="4" w:space="0"/>
            </w:tcBorders>
            <w:vAlign w:val="center"/>
          </w:tcPr>
          <w:p w14:paraId="5A028DE3">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75DE1716">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4D0138F8">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5885448C">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6D348C10">
            <w:pPr>
              <w:spacing w:after="50" w:line="360" w:lineRule="auto"/>
              <w:ind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p>
        </w:tc>
        <w:tc>
          <w:tcPr>
            <w:tcW w:w="1407" w:type="pct"/>
            <w:vAlign w:val="center"/>
          </w:tcPr>
          <w:p w14:paraId="205318A4">
            <w:pPr>
              <w:spacing w:line="360" w:lineRule="auto"/>
              <w:jc w:val="left"/>
              <w:rPr>
                <w:rFonts w:hint="eastAsia" w:ascii="宋体" w:hAnsi="宋体" w:eastAsia="宋体"/>
                <w:color w:val="auto"/>
                <w:sz w:val="24"/>
                <w:highlight w:val="none"/>
              </w:rPr>
            </w:pPr>
            <w:r>
              <w:rPr>
                <w:rFonts w:hint="eastAsia" w:ascii="宋体" w:hAnsi="宋体" w:eastAsia="宋体" w:cs="宋体"/>
                <w:color w:val="auto"/>
                <w:sz w:val="24"/>
                <w:szCs w:val="24"/>
                <w:highlight w:val="none"/>
              </w:rPr>
              <w:t>提供材料复印件，应完整的体现出材料全部内容。</w:t>
            </w:r>
          </w:p>
        </w:tc>
      </w:tr>
      <w:tr w14:paraId="2D1C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2" w:type="pct"/>
            <w:tcBorders>
              <w:bottom w:val="single" w:color="auto" w:sz="4" w:space="0"/>
            </w:tcBorders>
            <w:vAlign w:val="center"/>
          </w:tcPr>
          <w:p w14:paraId="5A26C576">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942" w:type="pct"/>
            <w:tcBorders>
              <w:bottom w:val="single" w:color="auto" w:sz="4" w:space="0"/>
            </w:tcBorders>
            <w:vAlign w:val="center"/>
          </w:tcPr>
          <w:p w14:paraId="1FC2791E">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18"/>
                <w:highlight w:val="none"/>
              </w:rPr>
              <w:t>供应商资格声明书</w:t>
            </w:r>
          </w:p>
        </w:tc>
        <w:tc>
          <w:tcPr>
            <w:tcW w:w="2277" w:type="pct"/>
            <w:tcBorders>
              <w:bottom w:val="single" w:color="auto" w:sz="4" w:space="0"/>
            </w:tcBorders>
            <w:vAlign w:val="center"/>
          </w:tcPr>
          <w:p w14:paraId="343888DD">
            <w:pPr>
              <w:spacing w:after="50" w:line="360" w:lineRule="auto"/>
              <w:ind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w:t>
            </w:r>
          </w:p>
        </w:tc>
        <w:tc>
          <w:tcPr>
            <w:tcW w:w="1407" w:type="pct"/>
            <w:vAlign w:val="center"/>
          </w:tcPr>
          <w:p w14:paraId="7ECC8ECB">
            <w:pPr>
              <w:spacing w:line="360" w:lineRule="auto"/>
              <w:jc w:val="left"/>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详见第六章响应文件格式。</w:t>
            </w:r>
          </w:p>
        </w:tc>
      </w:tr>
      <w:tr w14:paraId="3064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vAlign w:val="center"/>
          </w:tcPr>
          <w:p w14:paraId="777F11C2">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942" w:type="pct"/>
            <w:tcBorders>
              <w:bottom w:val="single" w:color="auto" w:sz="4" w:space="0"/>
            </w:tcBorders>
            <w:vAlign w:val="center"/>
          </w:tcPr>
          <w:p w14:paraId="0A179F14">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18"/>
                <w:highlight w:val="none"/>
              </w:rPr>
              <w:t>供应商</w:t>
            </w:r>
            <w:r>
              <w:rPr>
                <w:rFonts w:hint="eastAsia" w:ascii="宋体" w:hAnsi="宋体" w:eastAsia="宋体" w:cs="宋体"/>
                <w:color w:val="auto"/>
                <w:sz w:val="24"/>
                <w:szCs w:val="24"/>
                <w:highlight w:val="none"/>
              </w:rPr>
              <w:t>信用记录</w:t>
            </w:r>
          </w:p>
        </w:tc>
        <w:tc>
          <w:tcPr>
            <w:tcW w:w="2277" w:type="pct"/>
            <w:tcBorders>
              <w:bottom w:val="single" w:color="auto" w:sz="4" w:space="0"/>
            </w:tcBorders>
            <w:vAlign w:val="center"/>
          </w:tcPr>
          <w:p w14:paraId="1A9DA3AA">
            <w:pPr>
              <w:spacing w:after="50" w:line="360" w:lineRule="auto"/>
              <w:ind w:right="-10"/>
              <w:jc w:val="left"/>
              <w:rPr>
                <w:rFonts w:hint="eastAsia"/>
                <w:color w:val="auto"/>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不得存在</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407" w:type="pct"/>
            <w:tcBorders>
              <w:bottom w:val="single" w:color="auto" w:sz="4" w:space="0"/>
            </w:tcBorders>
            <w:vAlign w:val="center"/>
          </w:tcPr>
          <w:p w14:paraId="60BCD220">
            <w:pPr>
              <w:spacing w:line="360" w:lineRule="auto"/>
              <w:jc w:val="left"/>
              <w:rPr>
                <w:rFonts w:hint="eastAsia"/>
                <w:color w:val="auto"/>
                <w:highlight w:val="none"/>
              </w:rPr>
            </w:pPr>
            <w:r>
              <w:rPr>
                <w:rFonts w:hint="eastAsia" w:ascii="宋体" w:hAnsi="宋体" w:eastAsia="宋体" w:cs="宋体"/>
                <w:color w:val="auto"/>
                <w:sz w:val="24"/>
                <w:szCs w:val="24"/>
                <w:highlight w:val="none"/>
              </w:rPr>
              <w:t>无须供应商提供，由采购人或采购代理机构查询。</w:t>
            </w:r>
          </w:p>
        </w:tc>
      </w:tr>
      <w:tr w14:paraId="1912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vAlign w:val="center"/>
          </w:tcPr>
          <w:p w14:paraId="188E6A52">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42B4B9DD">
            <w:pPr>
              <w:spacing w:after="50" w:line="360" w:lineRule="auto"/>
              <w:ind w:right="-10"/>
              <w:jc w:val="center"/>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特定资格要求</w:t>
            </w:r>
          </w:p>
        </w:tc>
        <w:tc>
          <w:tcPr>
            <w:tcW w:w="2277" w:type="pct"/>
            <w:tcBorders>
              <w:bottom w:val="single" w:color="auto" w:sz="4" w:space="0"/>
            </w:tcBorders>
            <w:vAlign w:val="center"/>
          </w:tcPr>
          <w:p w14:paraId="6917525A">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见第一章《</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邀请》</w:t>
            </w:r>
          </w:p>
        </w:tc>
        <w:tc>
          <w:tcPr>
            <w:tcW w:w="1407" w:type="pct"/>
            <w:tcBorders>
              <w:bottom w:val="single" w:color="auto" w:sz="4" w:space="0"/>
            </w:tcBorders>
            <w:vAlign w:val="center"/>
          </w:tcPr>
          <w:p w14:paraId="5E72D82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提供材料复印件，应完整的体现出材料全部内容。</w:t>
            </w:r>
          </w:p>
        </w:tc>
      </w:tr>
      <w:tr w14:paraId="1CF4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493A964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942" w:type="pct"/>
            <w:vAlign w:val="center"/>
          </w:tcPr>
          <w:p w14:paraId="3B47F397">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eastAsia="zh-CN"/>
              </w:rPr>
              <w:t>谈判</w:t>
            </w:r>
            <w:r>
              <w:rPr>
                <w:rFonts w:hint="eastAsia" w:asciiTheme="minorEastAsia" w:hAnsiTheme="minorEastAsia" w:eastAsiaTheme="minorEastAsia"/>
                <w:color w:val="auto"/>
                <w:sz w:val="24"/>
                <w:szCs w:val="28"/>
                <w:highlight w:val="none"/>
              </w:rPr>
              <w:t>响应函</w:t>
            </w:r>
          </w:p>
        </w:tc>
        <w:tc>
          <w:tcPr>
            <w:tcW w:w="2277" w:type="pct"/>
            <w:vAlign w:val="center"/>
          </w:tcPr>
          <w:p w14:paraId="7345464D">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谈判</w:t>
            </w:r>
            <w:r>
              <w:rPr>
                <w:rFonts w:hint="eastAsia" w:asciiTheme="minorEastAsia" w:hAnsiTheme="minorEastAsia" w:eastAsiaTheme="minorEastAsia"/>
                <w:color w:val="auto"/>
                <w:sz w:val="24"/>
                <w:szCs w:val="28"/>
                <w:highlight w:val="none"/>
              </w:rPr>
              <w:t>文件规定并加盖供应商公章</w:t>
            </w:r>
          </w:p>
        </w:tc>
        <w:tc>
          <w:tcPr>
            <w:tcW w:w="1407" w:type="pct"/>
            <w:vAlign w:val="center"/>
          </w:tcPr>
          <w:p w14:paraId="2687904F">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3E4B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6FF7402E">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942" w:type="pct"/>
            <w:vAlign w:val="center"/>
          </w:tcPr>
          <w:p w14:paraId="06AE7DA1">
            <w:pPr>
              <w:spacing w:after="50" w:line="360" w:lineRule="auto"/>
              <w:ind w:right="-10"/>
              <w:jc w:val="center"/>
              <w:rPr>
                <w:rFonts w:hint="eastAsia"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授权书</w:t>
            </w:r>
          </w:p>
        </w:tc>
        <w:tc>
          <w:tcPr>
            <w:tcW w:w="2277" w:type="pct"/>
            <w:vAlign w:val="center"/>
          </w:tcPr>
          <w:p w14:paraId="6DFD788E">
            <w:pPr>
              <w:spacing w:after="50" w:line="360" w:lineRule="auto"/>
              <w:ind w:right="-10"/>
              <w:jc w:val="center"/>
              <w:rPr>
                <w:rFonts w:hint="eastAsia"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s="宋体"/>
                <w:color w:val="auto"/>
                <w:spacing w:val="10"/>
                <w:sz w:val="24"/>
                <w:szCs w:val="24"/>
                <w:highlight w:val="none"/>
                <w:lang w:eastAsia="zh-CN"/>
              </w:rPr>
              <w:t>谈判</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szCs w:val="28"/>
                <w:highlight w:val="none"/>
              </w:rPr>
              <w:t>公章</w:t>
            </w:r>
          </w:p>
        </w:tc>
        <w:tc>
          <w:tcPr>
            <w:tcW w:w="1407" w:type="pct"/>
            <w:vAlign w:val="center"/>
          </w:tcPr>
          <w:p w14:paraId="69A5D802">
            <w:pPr>
              <w:adjustRightInd w:val="0"/>
              <w:snapToGrid w:val="0"/>
              <w:spacing w:line="360" w:lineRule="auto"/>
              <w:ind w:right="-10"/>
              <w:jc w:val="center"/>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的无需此件，提供身份证明即可。详见第六章响应文件格式。</w:t>
            </w:r>
          </w:p>
        </w:tc>
      </w:tr>
      <w:tr w14:paraId="5C42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7252EE5D">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942" w:type="pct"/>
            <w:vAlign w:val="center"/>
          </w:tcPr>
          <w:p w14:paraId="6C19B534">
            <w:pPr>
              <w:spacing w:after="50" w:line="360" w:lineRule="auto"/>
              <w:ind w:right="-10"/>
              <w:jc w:val="center"/>
              <w:rPr>
                <w:rFonts w:hint="eastAsia"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lang w:eastAsia="zh-CN"/>
              </w:rPr>
              <w:t>谈判</w:t>
            </w:r>
            <w:r>
              <w:rPr>
                <w:rFonts w:hint="eastAsia" w:asciiTheme="minorEastAsia" w:hAnsiTheme="minorEastAsia" w:eastAsiaTheme="minorEastAsia"/>
                <w:color w:val="auto"/>
                <w:sz w:val="24"/>
                <w:szCs w:val="28"/>
                <w:highlight w:val="none"/>
              </w:rPr>
              <w:t>报价</w:t>
            </w:r>
          </w:p>
        </w:tc>
        <w:tc>
          <w:tcPr>
            <w:tcW w:w="2277" w:type="pct"/>
            <w:vAlign w:val="center"/>
          </w:tcPr>
          <w:p w14:paraId="29F1E5D8">
            <w:pPr>
              <w:spacing w:after="50" w:line="360" w:lineRule="auto"/>
              <w:ind w:right="-10"/>
              <w:jc w:val="center"/>
              <w:rPr>
                <w:rFonts w:hint="eastAsia"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lang w:eastAsia="zh-CN"/>
              </w:rPr>
              <w:t>谈判</w:t>
            </w:r>
            <w:r>
              <w:rPr>
                <w:rFonts w:hint="eastAsia" w:asciiTheme="minorEastAsia" w:hAnsiTheme="minorEastAsia" w:eastAsiaTheme="minorEastAsia"/>
                <w:color w:val="auto"/>
                <w:sz w:val="24"/>
                <w:highlight w:val="none"/>
              </w:rPr>
              <w:t>文件供应商须知正文第9条要求</w:t>
            </w:r>
          </w:p>
        </w:tc>
        <w:tc>
          <w:tcPr>
            <w:tcW w:w="1407" w:type="pct"/>
            <w:vAlign w:val="center"/>
          </w:tcPr>
          <w:p w14:paraId="631C48DC">
            <w:pPr>
              <w:adjustRightInd w:val="0"/>
              <w:snapToGrid w:val="0"/>
              <w:spacing w:line="360" w:lineRule="auto"/>
              <w:ind w:right="-10"/>
              <w:jc w:val="center"/>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详见第六章响应文件格式。</w:t>
            </w:r>
          </w:p>
        </w:tc>
      </w:tr>
      <w:tr w14:paraId="12F5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022C1EAE">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Theme="minorEastAsia" w:hAnsiTheme="minorEastAsia" w:eastAsiaTheme="minorEastAsia"/>
                <w:color w:val="auto"/>
                <w:sz w:val="24"/>
                <w:highlight w:val="none"/>
                <w:lang w:val="en-US" w:eastAsia="zh-CN"/>
              </w:rPr>
              <w:t>8</w:t>
            </w:r>
          </w:p>
        </w:tc>
        <w:tc>
          <w:tcPr>
            <w:tcW w:w="942" w:type="pct"/>
            <w:vAlign w:val="center"/>
          </w:tcPr>
          <w:p w14:paraId="7D03CC4D">
            <w:pPr>
              <w:spacing w:after="50" w:line="360" w:lineRule="auto"/>
              <w:ind w:right="-10"/>
              <w:jc w:val="center"/>
              <w:rPr>
                <w:rFonts w:hint="eastAsia"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商务响应情况</w:t>
            </w:r>
          </w:p>
        </w:tc>
        <w:tc>
          <w:tcPr>
            <w:tcW w:w="2277" w:type="pct"/>
            <w:vAlign w:val="center"/>
          </w:tcPr>
          <w:p w14:paraId="1D883954">
            <w:pPr>
              <w:spacing w:after="50" w:line="360" w:lineRule="auto"/>
              <w:ind w:right="-10"/>
              <w:jc w:val="center"/>
              <w:rPr>
                <w:rFonts w:hint="eastAsia"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lang w:eastAsia="zh-CN"/>
              </w:rPr>
              <w:t>谈判</w:t>
            </w:r>
            <w:r>
              <w:rPr>
                <w:rFonts w:hint="eastAsia" w:asciiTheme="minorEastAsia" w:hAnsiTheme="minorEastAsia" w:eastAsiaTheme="minorEastAsia"/>
                <w:color w:val="auto"/>
                <w:sz w:val="24"/>
                <w:szCs w:val="28"/>
                <w:highlight w:val="none"/>
              </w:rPr>
              <w:t>文件采购需求中对付款方式、服务地点、服务期限等实质性要求</w:t>
            </w:r>
          </w:p>
        </w:tc>
        <w:tc>
          <w:tcPr>
            <w:tcW w:w="1407" w:type="pct"/>
            <w:vAlign w:val="center"/>
          </w:tcPr>
          <w:p w14:paraId="499B555F">
            <w:pPr>
              <w:adjustRightInd w:val="0"/>
              <w:snapToGrid w:val="0"/>
              <w:spacing w:line="360" w:lineRule="auto"/>
              <w:ind w:right="-10"/>
              <w:jc w:val="center"/>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详见第六章响应文件格式。</w:t>
            </w:r>
          </w:p>
        </w:tc>
      </w:tr>
      <w:tr w14:paraId="4EE1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7351DF9D">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9</w:t>
            </w:r>
          </w:p>
        </w:tc>
        <w:tc>
          <w:tcPr>
            <w:tcW w:w="942" w:type="pct"/>
            <w:vAlign w:val="center"/>
          </w:tcPr>
          <w:p w14:paraId="2D08A682">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诚信响应承诺书</w:t>
            </w:r>
          </w:p>
        </w:tc>
        <w:tc>
          <w:tcPr>
            <w:tcW w:w="2277" w:type="pct"/>
            <w:vAlign w:val="center"/>
          </w:tcPr>
          <w:p w14:paraId="040E0E3E">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诚信响应承诺</w:t>
            </w:r>
            <w:r>
              <w:rPr>
                <w:rFonts w:ascii="宋体" w:hAnsi="宋体" w:eastAsia="宋体" w:cs="宋体"/>
                <w:color w:val="auto"/>
                <w:sz w:val="24"/>
                <w:szCs w:val="24"/>
                <w:highlight w:val="none"/>
              </w:rPr>
              <w:t>书》</w:t>
            </w:r>
            <w:r>
              <w:rPr>
                <w:rFonts w:hint="eastAsia" w:ascii="宋体" w:hAnsi="宋体" w:eastAsia="宋体" w:cs="宋体"/>
                <w:color w:val="auto"/>
                <w:sz w:val="24"/>
                <w:szCs w:val="24"/>
                <w:highlight w:val="none"/>
              </w:rPr>
              <w:t>。</w:t>
            </w:r>
          </w:p>
        </w:tc>
        <w:tc>
          <w:tcPr>
            <w:tcW w:w="1407" w:type="pct"/>
            <w:vAlign w:val="center"/>
          </w:tcPr>
          <w:p w14:paraId="144FA3BF">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详见第六章响应文件格式。</w:t>
            </w:r>
          </w:p>
        </w:tc>
      </w:tr>
      <w:tr w14:paraId="77E4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4AFCD19A">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w:t>
            </w:r>
          </w:p>
        </w:tc>
        <w:tc>
          <w:tcPr>
            <w:tcW w:w="942" w:type="pct"/>
            <w:vAlign w:val="center"/>
          </w:tcPr>
          <w:p w14:paraId="6E61522B">
            <w:pPr>
              <w:spacing w:after="50" w:line="360" w:lineRule="auto"/>
              <w:ind w:right="-10"/>
              <w:jc w:val="center"/>
              <w:rPr>
                <w:rFonts w:hint="eastAsia"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其他要求</w:t>
            </w:r>
          </w:p>
        </w:tc>
        <w:tc>
          <w:tcPr>
            <w:tcW w:w="2277" w:type="pct"/>
            <w:vAlign w:val="center"/>
          </w:tcPr>
          <w:p w14:paraId="6FCE8F5F">
            <w:pPr>
              <w:spacing w:after="50" w:line="360" w:lineRule="auto"/>
              <w:ind w:right="-10"/>
              <w:jc w:val="center"/>
              <w:rPr>
                <w:rFonts w:hint="eastAsia"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谈判</w:t>
            </w:r>
            <w:r>
              <w:rPr>
                <w:rFonts w:hint="eastAsia" w:asciiTheme="minorEastAsia" w:hAnsiTheme="minorEastAsia" w:eastAsiaTheme="minorEastAsia"/>
                <w:color w:val="auto"/>
                <w:sz w:val="24"/>
                <w:szCs w:val="28"/>
                <w:highlight w:val="none"/>
              </w:rPr>
              <w:t>文件列明的其他实质性要求</w:t>
            </w:r>
          </w:p>
        </w:tc>
        <w:tc>
          <w:tcPr>
            <w:tcW w:w="1407" w:type="pct"/>
            <w:vAlign w:val="center"/>
          </w:tcPr>
          <w:p w14:paraId="3856FBB5">
            <w:pPr>
              <w:adjustRightInd w:val="0"/>
              <w:snapToGrid w:val="0"/>
              <w:spacing w:line="360" w:lineRule="auto"/>
              <w:ind w:right="-10"/>
              <w:jc w:val="center"/>
              <w:rPr>
                <w:rFonts w:hint="eastAsia" w:ascii="宋体" w:hAnsi="宋体" w:eastAsia="宋体" w:cs="宋体"/>
                <w:color w:val="auto"/>
                <w:sz w:val="24"/>
                <w:szCs w:val="24"/>
                <w:highlight w:val="none"/>
              </w:rPr>
            </w:pPr>
          </w:p>
        </w:tc>
      </w:tr>
    </w:tbl>
    <w:p w14:paraId="569DFDE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00030FBB">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2.2本次评标采用最低评标价法</w:t>
      </w:r>
    </w:p>
    <w:p w14:paraId="3424B63C">
      <w:pPr>
        <w:spacing w:after="50" w:line="360" w:lineRule="auto"/>
        <w:ind w:righ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①第一次报价为投标人在响应文件《</w:t>
      </w:r>
      <w:r>
        <w:rPr>
          <w:rFonts w:hint="eastAsia" w:ascii="宋体" w:hAnsi="宋体" w:eastAsia="宋体" w:cs="宋体"/>
          <w:color w:val="auto"/>
          <w:sz w:val="24"/>
          <w:szCs w:val="24"/>
          <w:highlight w:val="none"/>
          <w:lang w:val="en-US" w:eastAsia="zh-CN"/>
        </w:rPr>
        <w:t>报价表</w:t>
      </w:r>
      <w:r>
        <w:rPr>
          <w:rFonts w:hint="eastAsia" w:ascii="宋体" w:hAnsi="宋体" w:eastAsia="宋体" w:cs="宋体"/>
          <w:color w:val="auto"/>
          <w:sz w:val="24"/>
          <w:szCs w:val="24"/>
          <w:highlight w:val="none"/>
        </w:rPr>
        <w:t>》中填报的报价；</w:t>
      </w:r>
    </w:p>
    <w:p w14:paraId="3558ABBF">
      <w:pPr>
        <w:spacing w:after="50" w:line="360" w:lineRule="auto"/>
        <w:ind w:righ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②第二次报价为投标人响应文件评审合格后，由谈判小组分别组织投标人进行谈判后的最后一次报价，即为最终报价，谈判结果以投标人的最终报价为准。</w:t>
      </w:r>
    </w:p>
    <w:p w14:paraId="7EE13D9C">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第二次报价不得高于第一次报价，否则取消其谈判资格。（</w:t>
      </w:r>
      <w:r>
        <w:rPr>
          <w:rFonts w:hint="eastAsia" w:ascii="宋体" w:hAnsi="宋体" w:eastAsia="宋体" w:cs="宋体"/>
          <w:color w:val="auto"/>
          <w:sz w:val="24"/>
          <w:szCs w:val="24"/>
          <w:highlight w:val="none"/>
          <w:lang w:eastAsia="zh-CN"/>
        </w:rPr>
        <w:t>投标报价</w:t>
      </w:r>
      <w:r>
        <w:rPr>
          <w:rFonts w:hint="eastAsia" w:ascii="宋体" w:hAnsi="宋体" w:eastAsia="宋体" w:cs="宋体"/>
          <w:color w:val="auto"/>
          <w:sz w:val="24"/>
          <w:szCs w:val="24"/>
          <w:highlight w:val="none"/>
        </w:rPr>
        <w:t>小数点后保留二位小数，第三位四舍五入。）</w:t>
      </w:r>
    </w:p>
    <w:p w14:paraId="4B66C141">
      <w:pPr>
        <w:spacing w:after="50" w:line="360" w:lineRule="auto"/>
        <w:ind w:right="-10"/>
        <w:jc w:val="left"/>
        <w:rPr>
          <w:rFonts w:hint="eastAsia" w:asciiTheme="minorEastAsia" w:hAnsiTheme="minorEastAsia" w:eastAsiaTheme="minorEastAsia"/>
          <w:b/>
          <w:color w:val="auto"/>
          <w:sz w:val="28"/>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谈判小组对满足谈判文件实质性要求的响应文件，按投标人的最终报价从低到高，推荐最终投标总报价最低的为第一成交候选人，次低的为第二成交候选人，以此类推三名成交候选人，但最终投标报价低于其成本的除外。最终投标总报价相同的投标人有两名或两名以上时，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或谈判小组主任委员抽签确定成交候选人排名</w:t>
      </w:r>
      <w:bookmarkStart w:id="69" w:name="_Toc17167"/>
      <w:bookmarkStart w:id="70" w:name="_Toc63440929"/>
      <w:r>
        <w:rPr>
          <w:rFonts w:hint="eastAsia" w:ascii="宋体" w:hAnsi="宋体" w:eastAsia="宋体" w:cs="宋体"/>
          <w:color w:val="auto"/>
          <w:sz w:val="24"/>
          <w:szCs w:val="24"/>
          <w:highlight w:val="none"/>
          <w:lang w:eastAsia="zh-CN"/>
        </w:rPr>
        <w:t>。</w:t>
      </w:r>
    </w:p>
    <w:p w14:paraId="5C6CBD82">
      <w:pPr>
        <w:pStyle w:val="8"/>
        <w:rPr>
          <w:rFonts w:hint="eastAsia" w:asciiTheme="minorEastAsia" w:hAnsiTheme="minorEastAsia" w:eastAsiaTheme="minorEastAsia"/>
          <w:b/>
          <w:color w:val="auto"/>
          <w:sz w:val="28"/>
          <w:highlight w:val="none"/>
          <w:lang w:eastAsia="zh-CN"/>
        </w:rPr>
      </w:pPr>
    </w:p>
    <w:p w14:paraId="3B63A404">
      <w:pPr>
        <w:pStyle w:val="8"/>
        <w:rPr>
          <w:rFonts w:hint="eastAsia" w:asciiTheme="minorEastAsia" w:hAnsiTheme="minorEastAsia" w:eastAsiaTheme="minorEastAsia"/>
          <w:b/>
          <w:color w:val="auto"/>
          <w:sz w:val="28"/>
          <w:highlight w:val="none"/>
          <w:lang w:eastAsia="zh-CN"/>
        </w:rPr>
      </w:pPr>
    </w:p>
    <w:p w14:paraId="51DFC542">
      <w:pPr>
        <w:pStyle w:val="8"/>
        <w:rPr>
          <w:rFonts w:hint="eastAsia" w:asciiTheme="minorEastAsia" w:hAnsiTheme="minorEastAsia" w:eastAsiaTheme="minorEastAsia"/>
          <w:b/>
          <w:color w:val="auto"/>
          <w:sz w:val="28"/>
          <w:highlight w:val="none"/>
          <w:lang w:eastAsia="zh-CN"/>
        </w:rPr>
      </w:pPr>
    </w:p>
    <w:p w14:paraId="23DD023C">
      <w:pPr>
        <w:pStyle w:val="8"/>
        <w:rPr>
          <w:rFonts w:hint="eastAsia" w:asciiTheme="minorEastAsia" w:hAnsiTheme="minorEastAsia" w:eastAsiaTheme="minorEastAsia"/>
          <w:b/>
          <w:color w:val="auto"/>
          <w:sz w:val="28"/>
          <w:highlight w:val="none"/>
          <w:lang w:eastAsia="zh-CN"/>
        </w:rPr>
      </w:pPr>
    </w:p>
    <w:p w14:paraId="5DF8A5E1">
      <w:pPr>
        <w:pStyle w:val="8"/>
        <w:rPr>
          <w:rFonts w:hint="eastAsia" w:asciiTheme="minorEastAsia" w:hAnsiTheme="minorEastAsia" w:eastAsiaTheme="minorEastAsia"/>
          <w:b/>
          <w:color w:val="auto"/>
          <w:sz w:val="28"/>
          <w:highlight w:val="none"/>
          <w:lang w:eastAsia="zh-CN"/>
        </w:rPr>
      </w:pPr>
    </w:p>
    <w:p w14:paraId="43F2920A">
      <w:pPr>
        <w:pStyle w:val="8"/>
        <w:rPr>
          <w:rFonts w:hint="eastAsia" w:asciiTheme="minorEastAsia" w:hAnsiTheme="minorEastAsia" w:eastAsiaTheme="minorEastAsia"/>
          <w:b/>
          <w:color w:val="auto"/>
          <w:sz w:val="28"/>
          <w:highlight w:val="none"/>
          <w:lang w:eastAsia="zh-CN"/>
        </w:rPr>
      </w:pPr>
    </w:p>
    <w:p w14:paraId="6D23BB02">
      <w:pPr>
        <w:pStyle w:val="8"/>
        <w:rPr>
          <w:rFonts w:hint="eastAsia" w:asciiTheme="minorEastAsia" w:hAnsiTheme="minorEastAsia" w:eastAsiaTheme="minorEastAsia"/>
          <w:b/>
          <w:color w:val="auto"/>
          <w:sz w:val="28"/>
          <w:highlight w:val="none"/>
          <w:lang w:eastAsia="zh-CN"/>
        </w:rPr>
      </w:pPr>
    </w:p>
    <w:p w14:paraId="46486C4E">
      <w:pPr>
        <w:pStyle w:val="8"/>
        <w:rPr>
          <w:rFonts w:hint="eastAsia" w:asciiTheme="minorEastAsia" w:hAnsiTheme="minorEastAsia" w:eastAsiaTheme="minorEastAsia"/>
          <w:b/>
          <w:color w:val="auto"/>
          <w:sz w:val="28"/>
          <w:highlight w:val="none"/>
          <w:lang w:eastAsia="zh-CN"/>
        </w:rPr>
      </w:pPr>
    </w:p>
    <w:p w14:paraId="73972AC8">
      <w:pPr>
        <w:pStyle w:val="8"/>
        <w:rPr>
          <w:rFonts w:hint="eastAsia" w:asciiTheme="minorEastAsia" w:hAnsiTheme="minorEastAsia" w:eastAsiaTheme="minorEastAsia"/>
          <w:b/>
          <w:color w:val="auto"/>
          <w:sz w:val="28"/>
          <w:highlight w:val="none"/>
          <w:lang w:eastAsia="zh-CN"/>
        </w:rPr>
      </w:pPr>
    </w:p>
    <w:p w14:paraId="6A3882E8">
      <w:pPr>
        <w:pStyle w:val="8"/>
        <w:rPr>
          <w:rFonts w:hint="eastAsia" w:asciiTheme="minorEastAsia" w:hAnsiTheme="minorEastAsia" w:eastAsiaTheme="minorEastAsia"/>
          <w:b/>
          <w:color w:val="auto"/>
          <w:sz w:val="28"/>
          <w:highlight w:val="none"/>
          <w:lang w:eastAsia="zh-CN"/>
        </w:rPr>
      </w:pPr>
    </w:p>
    <w:p w14:paraId="13E523ED">
      <w:pPr>
        <w:pStyle w:val="8"/>
        <w:rPr>
          <w:rFonts w:hint="eastAsia" w:asciiTheme="minorEastAsia" w:hAnsiTheme="minorEastAsia" w:eastAsiaTheme="minorEastAsia"/>
          <w:b/>
          <w:color w:val="auto"/>
          <w:sz w:val="28"/>
          <w:highlight w:val="none"/>
          <w:lang w:eastAsia="zh-CN"/>
        </w:rPr>
      </w:pPr>
    </w:p>
    <w:p w14:paraId="52A2F320">
      <w:pPr>
        <w:pStyle w:val="8"/>
        <w:rPr>
          <w:rFonts w:hint="eastAsia" w:asciiTheme="minorEastAsia" w:hAnsiTheme="minorEastAsia" w:eastAsiaTheme="minorEastAsia"/>
          <w:b/>
          <w:color w:val="auto"/>
          <w:sz w:val="28"/>
          <w:highlight w:val="none"/>
          <w:lang w:eastAsia="zh-CN"/>
        </w:rPr>
      </w:pPr>
    </w:p>
    <w:p w14:paraId="2D6DD9DD">
      <w:pPr>
        <w:pStyle w:val="8"/>
        <w:rPr>
          <w:rFonts w:hint="eastAsia" w:asciiTheme="minorEastAsia" w:hAnsiTheme="minorEastAsia" w:eastAsiaTheme="minorEastAsia"/>
          <w:b/>
          <w:color w:val="auto"/>
          <w:sz w:val="28"/>
          <w:highlight w:val="none"/>
          <w:lang w:eastAsia="zh-CN"/>
        </w:rPr>
      </w:pPr>
    </w:p>
    <w:p w14:paraId="3EB39C55">
      <w:pPr>
        <w:pStyle w:val="8"/>
        <w:rPr>
          <w:rFonts w:hint="eastAsia" w:asciiTheme="minorEastAsia" w:hAnsiTheme="minorEastAsia" w:eastAsiaTheme="minorEastAsia"/>
          <w:b/>
          <w:color w:val="auto"/>
          <w:sz w:val="28"/>
          <w:highlight w:val="none"/>
          <w:lang w:eastAsia="zh-CN"/>
        </w:rPr>
      </w:pPr>
    </w:p>
    <w:p w14:paraId="08739883">
      <w:pPr>
        <w:pStyle w:val="8"/>
        <w:rPr>
          <w:rFonts w:hint="eastAsia" w:asciiTheme="minorEastAsia" w:hAnsiTheme="minorEastAsia" w:eastAsiaTheme="minorEastAsia"/>
          <w:b/>
          <w:color w:val="auto"/>
          <w:sz w:val="28"/>
          <w:highlight w:val="none"/>
          <w:lang w:eastAsia="zh-CN"/>
        </w:rPr>
      </w:pPr>
    </w:p>
    <w:p w14:paraId="5DF2E5EA">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69"/>
      <w:bookmarkEnd w:id="70"/>
    </w:p>
    <w:p w14:paraId="35B45907">
      <w:pPr>
        <w:spacing w:line="480" w:lineRule="auto"/>
        <w:jc w:val="center"/>
        <w:rPr>
          <w:rFonts w:hint="eastAsia" w:asciiTheme="minorEastAsia" w:hAnsiTheme="minorEastAsia" w:eastAsiaTheme="minorEastAsia"/>
          <w:b/>
          <w:color w:val="auto"/>
          <w:sz w:val="24"/>
          <w:highlight w:val="none"/>
        </w:rPr>
      </w:pPr>
    </w:p>
    <w:p w14:paraId="4220789E">
      <w:pPr>
        <w:spacing w:line="480" w:lineRule="auto"/>
        <w:jc w:val="center"/>
        <w:rPr>
          <w:rFonts w:hint="eastAsia" w:asciiTheme="minorEastAsia" w:hAnsiTheme="minorEastAsia" w:eastAsiaTheme="minorEastAsia"/>
          <w:b/>
          <w:color w:val="auto"/>
          <w:sz w:val="24"/>
          <w:highlight w:val="none"/>
        </w:rPr>
      </w:pPr>
    </w:p>
    <w:p w14:paraId="2D6A12BB">
      <w:pPr>
        <w:spacing w:line="480" w:lineRule="auto"/>
        <w:jc w:val="center"/>
        <w:rPr>
          <w:rFonts w:hint="eastAsia" w:asciiTheme="minorEastAsia" w:hAnsiTheme="minorEastAsia" w:eastAsiaTheme="minorEastAsia"/>
          <w:b/>
          <w:color w:val="auto"/>
          <w:sz w:val="24"/>
          <w:highlight w:val="none"/>
        </w:rPr>
      </w:pPr>
    </w:p>
    <w:p w14:paraId="04F84D6C">
      <w:pPr>
        <w:spacing w:line="480" w:lineRule="auto"/>
        <w:jc w:val="center"/>
        <w:outlineLvl w:val="1"/>
        <w:rPr>
          <w:rFonts w:hint="eastAsia" w:asciiTheme="minorEastAsia" w:hAnsiTheme="minorEastAsia" w:eastAsiaTheme="minorEastAsia"/>
          <w:b/>
          <w:color w:val="auto"/>
          <w:sz w:val="32"/>
          <w:szCs w:val="32"/>
          <w:highlight w:val="none"/>
        </w:rPr>
      </w:pPr>
      <w:bookmarkStart w:id="71" w:name="_Toc9456"/>
      <w:r>
        <w:rPr>
          <w:rFonts w:asciiTheme="minorEastAsia" w:hAnsiTheme="minorEastAsia" w:eastAsiaTheme="minorEastAsia"/>
          <w:b/>
          <w:color w:val="auto"/>
          <w:sz w:val="32"/>
          <w:szCs w:val="32"/>
          <w:highlight w:val="none"/>
        </w:rPr>
        <w:t>政府采购合同</w:t>
      </w:r>
      <w:r>
        <w:rPr>
          <w:rFonts w:hint="eastAsia" w:asciiTheme="minorEastAsia" w:hAnsiTheme="minorEastAsia" w:eastAsiaTheme="minorEastAsia"/>
          <w:b/>
          <w:color w:val="auto"/>
          <w:sz w:val="32"/>
          <w:szCs w:val="32"/>
          <w:highlight w:val="none"/>
        </w:rPr>
        <w:t>参考范本</w:t>
      </w:r>
      <w:bookmarkEnd w:id="71"/>
    </w:p>
    <w:p w14:paraId="25FFB32F">
      <w:pPr>
        <w:spacing w:line="480" w:lineRule="auto"/>
        <w:jc w:val="center"/>
        <w:outlineLvl w:val="1"/>
        <w:rPr>
          <w:rFonts w:hint="eastAsia" w:asciiTheme="minorEastAsia" w:hAnsiTheme="minorEastAsia" w:eastAsiaTheme="minorEastAsia"/>
          <w:b/>
          <w:color w:val="auto"/>
          <w:sz w:val="32"/>
          <w:szCs w:val="32"/>
          <w:highlight w:val="none"/>
        </w:rPr>
      </w:pPr>
      <w:bookmarkStart w:id="72" w:name="_Toc26618"/>
      <w:r>
        <w:rPr>
          <w:rFonts w:hint="eastAsia" w:asciiTheme="minorEastAsia" w:hAnsiTheme="minorEastAsia" w:eastAsiaTheme="minorEastAsia"/>
          <w:b/>
          <w:color w:val="auto"/>
          <w:sz w:val="32"/>
          <w:szCs w:val="32"/>
          <w:highlight w:val="none"/>
        </w:rPr>
        <w:t>（服务类）</w:t>
      </w:r>
      <w:bookmarkEnd w:id="72"/>
    </w:p>
    <w:p w14:paraId="674E1FC5">
      <w:pPr>
        <w:spacing w:line="480" w:lineRule="auto"/>
        <w:jc w:val="center"/>
        <w:rPr>
          <w:rFonts w:hint="eastAsia" w:asciiTheme="minorEastAsia" w:hAnsiTheme="minorEastAsia" w:eastAsiaTheme="minorEastAsia"/>
          <w:b/>
          <w:color w:val="auto"/>
          <w:sz w:val="24"/>
          <w:highlight w:val="none"/>
        </w:rPr>
      </w:pPr>
    </w:p>
    <w:p w14:paraId="54B98B88">
      <w:pPr>
        <w:spacing w:line="480" w:lineRule="auto"/>
        <w:jc w:val="center"/>
        <w:rPr>
          <w:rFonts w:hint="eastAsia" w:asciiTheme="minorEastAsia" w:hAnsiTheme="minorEastAsia" w:eastAsiaTheme="minorEastAsia"/>
          <w:b/>
          <w:color w:val="auto"/>
          <w:sz w:val="24"/>
          <w:highlight w:val="none"/>
        </w:rPr>
      </w:pPr>
    </w:p>
    <w:p w14:paraId="42F53F96">
      <w:pPr>
        <w:spacing w:line="480" w:lineRule="auto"/>
        <w:jc w:val="center"/>
        <w:rPr>
          <w:rFonts w:hint="eastAsia" w:asciiTheme="minorEastAsia" w:hAnsiTheme="minorEastAsia" w:eastAsiaTheme="minorEastAsia"/>
          <w:b/>
          <w:color w:val="auto"/>
          <w:sz w:val="24"/>
          <w:highlight w:val="none"/>
        </w:rPr>
      </w:pPr>
    </w:p>
    <w:p w14:paraId="6C0008CA">
      <w:pPr>
        <w:spacing w:line="360" w:lineRule="auto"/>
        <w:jc w:val="center"/>
        <w:outlineLvl w:val="1"/>
        <w:rPr>
          <w:rFonts w:hint="eastAsia" w:asciiTheme="minorEastAsia" w:hAnsiTheme="minorEastAsia" w:eastAsiaTheme="minorEastAsia"/>
          <w:b/>
          <w:color w:val="auto"/>
          <w:sz w:val="24"/>
          <w:highlight w:val="none"/>
        </w:rPr>
      </w:pPr>
      <w:bookmarkStart w:id="73" w:name="_Toc18055"/>
      <w:r>
        <w:rPr>
          <w:rFonts w:hint="eastAsia" w:asciiTheme="minorEastAsia" w:hAnsiTheme="minorEastAsia" w:eastAsiaTheme="minorEastAsia"/>
          <w:b/>
          <w:color w:val="auto"/>
          <w:sz w:val="24"/>
          <w:highlight w:val="none"/>
        </w:rPr>
        <w:t>第一部分 合同书</w:t>
      </w:r>
      <w:bookmarkEnd w:id="73"/>
    </w:p>
    <w:p w14:paraId="32E43B6E">
      <w:pPr>
        <w:spacing w:line="480" w:lineRule="auto"/>
        <w:jc w:val="center"/>
        <w:rPr>
          <w:rFonts w:hint="eastAsia" w:asciiTheme="minorEastAsia" w:hAnsiTheme="minorEastAsia" w:eastAsiaTheme="minorEastAsia"/>
          <w:b/>
          <w:color w:val="auto"/>
          <w:sz w:val="24"/>
          <w:highlight w:val="none"/>
        </w:rPr>
      </w:pPr>
    </w:p>
    <w:p w14:paraId="3B314A05">
      <w:pPr>
        <w:spacing w:line="480" w:lineRule="auto"/>
        <w:jc w:val="center"/>
        <w:rPr>
          <w:rFonts w:hint="eastAsia" w:asciiTheme="minorEastAsia" w:hAnsiTheme="minorEastAsia" w:eastAsiaTheme="minorEastAsia"/>
          <w:b/>
          <w:color w:val="auto"/>
          <w:sz w:val="24"/>
          <w:highlight w:val="none"/>
        </w:rPr>
      </w:pPr>
    </w:p>
    <w:p w14:paraId="3C182433">
      <w:pPr>
        <w:spacing w:line="480" w:lineRule="auto"/>
        <w:jc w:val="center"/>
        <w:rPr>
          <w:rFonts w:hint="eastAsia" w:asciiTheme="minorEastAsia" w:hAnsiTheme="minorEastAsia" w:eastAsiaTheme="minorEastAsia"/>
          <w:b/>
          <w:color w:val="auto"/>
          <w:sz w:val="24"/>
          <w:highlight w:val="none"/>
        </w:rPr>
      </w:pPr>
    </w:p>
    <w:p w14:paraId="7A254405">
      <w:pPr>
        <w:spacing w:line="480" w:lineRule="auto"/>
        <w:jc w:val="center"/>
        <w:rPr>
          <w:rFonts w:hint="eastAsia" w:asciiTheme="minorEastAsia" w:hAnsiTheme="minorEastAsia" w:eastAsiaTheme="minorEastAsia"/>
          <w:b/>
          <w:color w:val="auto"/>
          <w:sz w:val="24"/>
          <w:highlight w:val="none"/>
        </w:rPr>
      </w:pPr>
    </w:p>
    <w:p w14:paraId="7DE7DCA5">
      <w:pPr>
        <w:spacing w:before="120" w:line="480" w:lineRule="auto"/>
        <w:ind w:left="960"/>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eastAsia="zh-CN"/>
        </w:rPr>
        <w:t>滁州技师学院2025年全国职业技能大赛世赛争夺赛中职组财经赛道技术服务及培训项目</w:t>
      </w:r>
    </w:p>
    <w:p w14:paraId="7020DD03">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lang w:val="en-US" w:eastAsia="zh-CN"/>
        </w:rPr>
        <w:t>滁州市机电工程学校</w:t>
      </w:r>
    </w:p>
    <w:p w14:paraId="30EC4C67">
      <w:pPr>
        <w:spacing w:before="120" w:line="480" w:lineRule="auto"/>
        <w:ind w:left="960"/>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乙方（成交供应商）：</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4B11BB49">
      <w:pPr>
        <w:spacing w:before="120" w:line="480" w:lineRule="auto"/>
        <w:ind w:firstLine="960" w:firstLineChars="400"/>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w:t>
      </w:r>
      <w:r>
        <w:rPr>
          <w:rFonts w:hint="eastAsia" w:asciiTheme="minorEastAsia" w:hAnsiTheme="minorEastAsia" w:eastAsiaTheme="minorEastAsia"/>
          <w:color w:val="auto"/>
          <w:sz w:val="24"/>
          <w:highlight w:val="none"/>
          <w:u w:val="single"/>
          <w:lang w:val="en-US" w:eastAsia="zh-CN"/>
        </w:rPr>
        <w:t>滁州市机电工程学校</w:t>
      </w:r>
    </w:p>
    <w:p w14:paraId="14AF6A80">
      <w:pPr>
        <w:spacing w:before="120" w:line="480" w:lineRule="auto"/>
        <w:ind w:firstLine="960" w:firstLineChars="4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609DFB0F">
      <w:pPr>
        <w:widowControl/>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D075180">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lang w:val="en-US" w:eastAsia="zh-CN"/>
        </w:rPr>
        <w:t>滁州市机电工程学校</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zh-CN"/>
        </w:rPr>
        <w:t>以下简称：甲方</w:t>
      </w:r>
      <w:r>
        <w:rPr>
          <w:rFonts w:hint="eastAsia"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安徽星启工程项目管理有限公司（委托招标）</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组织的竞争性</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小组评定，</w:t>
      </w:r>
      <w:r>
        <w:rPr>
          <w:rFonts w:hint="eastAsia" w:asciiTheme="minorEastAsia" w:hAnsiTheme="minorEastAsia" w:eastAsiaTheme="minorEastAsia"/>
          <w:color w:val="auto"/>
          <w:sz w:val="24"/>
          <w:highlight w:val="none"/>
          <w:u w:val="single"/>
        </w:rPr>
        <w:t xml:space="preserve"> （成交供应商名称）</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zh-CN"/>
        </w:rPr>
        <w:t>以下简称：乙方</w:t>
      </w:r>
      <w:r>
        <w:rPr>
          <w:rFonts w:hint="eastAsia" w:asciiTheme="minorEastAsia" w:hAnsiTheme="minorEastAsia" w:eastAsiaTheme="minorEastAsia"/>
          <w:color w:val="auto"/>
          <w:sz w:val="24"/>
          <w:highlight w:val="none"/>
        </w:rPr>
        <w:t>）为本项目成交供应商，现按照采购文件确定的事项签订本合同。</w:t>
      </w:r>
    </w:p>
    <w:p w14:paraId="25822E95">
      <w:pPr>
        <w:spacing w:line="360" w:lineRule="auto"/>
        <w:ind w:firstLine="435"/>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1920A189">
      <w:pPr>
        <w:spacing w:line="360" w:lineRule="auto"/>
        <w:ind w:firstLine="437"/>
        <w:outlineLvl w:val="2"/>
        <w:rPr>
          <w:rFonts w:hint="eastAsia" w:asciiTheme="minorEastAsia" w:hAnsiTheme="minorEastAsia" w:eastAsiaTheme="minorEastAsia"/>
          <w:b/>
          <w:bCs/>
          <w:color w:val="auto"/>
          <w:sz w:val="24"/>
          <w:highlight w:val="none"/>
          <w:lang w:val="zh-CN"/>
        </w:rPr>
      </w:pPr>
      <w:bookmarkStart w:id="74" w:name="_Toc24059"/>
      <w:bookmarkStart w:id="75" w:name="_Toc2232"/>
      <w:bookmarkStart w:id="76" w:name="_Toc3029"/>
      <w:r>
        <w:rPr>
          <w:rFonts w:hint="eastAsia" w:asciiTheme="minorEastAsia" w:hAnsiTheme="minorEastAsia" w:eastAsiaTheme="minorEastAsia"/>
          <w:b/>
          <w:bCs/>
          <w:color w:val="auto"/>
          <w:sz w:val="24"/>
          <w:highlight w:val="none"/>
          <w:lang w:val="zh-CN"/>
        </w:rPr>
        <w:t>1.1</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合同组成部分</w:t>
      </w:r>
      <w:bookmarkEnd w:id="74"/>
      <w:bookmarkEnd w:id="75"/>
      <w:bookmarkEnd w:id="76"/>
    </w:p>
    <w:p w14:paraId="73019308">
      <w:pPr>
        <w:spacing w:line="360" w:lineRule="auto"/>
        <w:ind w:firstLine="435"/>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5C49ABA">
      <w:pPr>
        <w:spacing w:line="360" w:lineRule="auto"/>
        <w:ind w:firstLine="435"/>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1.1.1本合同及其补充合同、变更协议；</w:t>
      </w:r>
    </w:p>
    <w:p w14:paraId="14B1C8EC">
      <w:pPr>
        <w:spacing w:line="360" w:lineRule="auto"/>
        <w:ind w:firstLine="435"/>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1.1.2成交通知书；</w:t>
      </w:r>
    </w:p>
    <w:p w14:paraId="21E192A5">
      <w:pPr>
        <w:spacing w:line="360" w:lineRule="auto"/>
        <w:ind w:firstLine="435"/>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1.1.3响应文件（含澄清或者说明文件）；</w:t>
      </w:r>
    </w:p>
    <w:p w14:paraId="6890F688">
      <w:pPr>
        <w:spacing w:line="360" w:lineRule="auto"/>
        <w:ind w:firstLine="435"/>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1.1.4谈判文件（含澄清或者修改文件）；</w:t>
      </w:r>
    </w:p>
    <w:p w14:paraId="3FD4708D">
      <w:pPr>
        <w:spacing w:line="360" w:lineRule="auto"/>
        <w:ind w:firstLine="435"/>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1.1.5其他相关采购文件。</w:t>
      </w:r>
    </w:p>
    <w:p w14:paraId="4FA3AD07">
      <w:pPr>
        <w:spacing w:line="360" w:lineRule="auto"/>
        <w:ind w:firstLine="437"/>
        <w:outlineLvl w:val="2"/>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本合同总价为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元</w:t>
      </w:r>
      <w:r>
        <w:rPr>
          <w:rFonts w:hint="eastAsia" w:asciiTheme="minorEastAsia" w:hAnsiTheme="minorEastAsia" w:eastAsiaTheme="minorEastAsia"/>
          <w:color w:val="auto"/>
          <w:sz w:val="24"/>
          <w:highlight w:val="none"/>
        </w:rPr>
        <w:t>（大写：</w:t>
      </w:r>
      <w:bookmarkStart w:id="77" w:name="_Toc27126"/>
      <w:bookmarkStart w:id="78" w:name="_Toc21295"/>
      <w:bookmarkStart w:id="79" w:name="_Toc24300"/>
      <w:r>
        <w:rPr>
          <w:rFonts w:hint="eastAsia" w:asciiTheme="minorEastAsia" w:hAnsiTheme="minorEastAsia" w:eastAsiaTheme="minorEastAsia"/>
          <w:color w:val="auto"/>
          <w:sz w:val="24"/>
          <w:highlight w:val="none"/>
          <w:lang w:eastAsia="zh-CN"/>
        </w:rPr>
        <w:t>）</w:t>
      </w:r>
    </w:p>
    <w:p w14:paraId="58D442BB">
      <w:pPr>
        <w:spacing w:line="360" w:lineRule="auto"/>
        <w:ind w:firstLine="437"/>
        <w:outlineLvl w:val="2"/>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zh-CN"/>
        </w:rPr>
        <w:t>1.2</w:t>
      </w:r>
      <w:r>
        <w:rPr>
          <w:rFonts w:asciiTheme="minorEastAsia" w:hAnsiTheme="minorEastAsia" w:eastAsiaTheme="minorEastAsia"/>
          <w:b/>
          <w:bCs/>
          <w:color w:val="auto"/>
          <w:sz w:val="24"/>
          <w:highlight w:val="none"/>
          <w:lang w:val="zh-CN"/>
        </w:rPr>
        <w:t xml:space="preserve"> </w:t>
      </w:r>
      <w:bookmarkEnd w:id="77"/>
      <w:bookmarkEnd w:id="78"/>
      <w:bookmarkEnd w:id="79"/>
      <w:r>
        <w:rPr>
          <w:rFonts w:hint="eastAsia" w:asciiTheme="minorEastAsia" w:hAnsiTheme="minorEastAsia" w:eastAsiaTheme="minorEastAsia"/>
          <w:b/>
          <w:bCs/>
          <w:color w:val="auto"/>
          <w:sz w:val="24"/>
          <w:highlight w:val="none"/>
        </w:rPr>
        <w:t>服务</w:t>
      </w:r>
    </w:p>
    <w:p w14:paraId="0A24BF1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zh-CN"/>
        </w:rPr>
        <w:t>1.</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zh-CN"/>
        </w:rPr>
        <w:t>.1</w:t>
      </w:r>
      <w:r>
        <w:rPr>
          <w:rFonts w:hint="eastAsia" w:asciiTheme="minorEastAsia" w:hAnsiTheme="minorEastAsia" w:eastAsiaTheme="minorEastAsia"/>
          <w:color w:val="auto"/>
          <w:sz w:val="24"/>
          <w:highlight w:val="none"/>
        </w:rPr>
        <w:t>服务名称：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eastAsia="zh-CN"/>
        </w:rPr>
        <w:t>滁州技师学院2025年全国职业技能大赛世赛争夺赛中职组财经赛道技术服务及培训项目</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C3D10DE">
      <w:pPr>
        <w:spacing w:line="360" w:lineRule="auto"/>
        <w:ind w:firstLine="435"/>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val="zh-CN"/>
        </w:rPr>
        <w:t>1.</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zh-CN"/>
        </w:rPr>
        <w:t>.2</w:t>
      </w:r>
      <w:r>
        <w:rPr>
          <w:rFonts w:hint="eastAsia" w:asciiTheme="minorEastAsia" w:hAnsiTheme="minorEastAsia" w:eastAsiaTheme="minorEastAsia"/>
          <w:color w:val="auto"/>
          <w:sz w:val="24"/>
          <w:highlight w:val="none"/>
        </w:rPr>
        <w:t>服务内容：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详见谈判文件采购需求</w:t>
      </w:r>
    </w:p>
    <w:p w14:paraId="7D56218C">
      <w:pPr>
        <w:spacing w:line="360" w:lineRule="auto"/>
        <w:ind w:firstLine="435"/>
        <w:rPr>
          <w:rFonts w:hint="eastAsia" w:eastAsiaTheme="minorEastAsia"/>
          <w:color w:val="auto"/>
          <w:highlight w:val="none"/>
        </w:rPr>
      </w:pPr>
      <w:r>
        <w:rPr>
          <w:rFonts w:hint="eastAsia" w:asciiTheme="minorEastAsia" w:hAnsiTheme="minorEastAsia" w:eastAsiaTheme="minorEastAsia"/>
          <w:color w:val="auto"/>
          <w:sz w:val="24"/>
          <w:highlight w:val="none"/>
          <w:lang w:val="zh-CN"/>
        </w:rPr>
        <w:t>1.</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zh-CN"/>
        </w:rPr>
        <w:t>.3</w:t>
      </w:r>
      <w:r>
        <w:rPr>
          <w:rFonts w:hint="eastAsia" w:asciiTheme="minorEastAsia" w:hAnsiTheme="minorEastAsia" w:eastAsiaTheme="minorEastAsia"/>
          <w:color w:val="auto"/>
          <w:sz w:val="24"/>
          <w:highlight w:val="none"/>
        </w:rPr>
        <w:t>服务质量：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符合相关标准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44A337A">
      <w:pPr>
        <w:spacing w:line="360" w:lineRule="auto"/>
        <w:ind w:firstLine="437"/>
        <w:outlineLvl w:val="2"/>
        <w:rPr>
          <w:rFonts w:hint="eastAsia" w:asciiTheme="minorEastAsia" w:hAnsiTheme="minorEastAsia" w:eastAsiaTheme="minorEastAsia"/>
          <w:b/>
          <w:bCs/>
          <w:color w:val="auto"/>
          <w:sz w:val="24"/>
          <w:highlight w:val="none"/>
          <w:lang w:val="zh-CN"/>
        </w:rPr>
      </w:pPr>
      <w:bookmarkStart w:id="80" w:name="_Toc23292"/>
      <w:bookmarkStart w:id="81" w:name="_Toc21551"/>
      <w:bookmarkStart w:id="82" w:name="_Toc21631"/>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3 </w:t>
      </w:r>
      <w:r>
        <w:rPr>
          <w:rFonts w:hint="eastAsia" w:asciiTheme="minorEastAsia" w:hAnsiTheme="minorEastAsia" w:eastAsiaTheme="minorEastAsia"/>
          <w:b/>
          <w:bCs/>
          <w:color w:val="auto"/>
          <w:sz w:val="24"/>
          <w:highlight w:val="none"/>
          <w:lang w:val="zh-CN"/>
        </w:rPr>
        <w:t>价款</w:t>
      </w:r>
      <w:bookmarkEnd w:id="80"/>
      <w:bookmarkEnd w:id="81"/>
      <w:bookmarkEnd w:id="82"/>
    </w:p>
    <w:p w14:paraId="7F6D7C4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人民币</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元）</w:t>
      </w:r>
      <w:r>
        <w:rPr>
          <w:rFonts w:asciiTheme="minorEastAsia" w:hAnsiTheme="minorEastAsia" w:eastAsiaTheme="minorEastAsia"/>
          <w:color w:val="auto"/>
          <w:sz w:val="24"/>
          <w:highlight w:val="none"/>
        </w:rPr>
        <w:t>。</w:t>
      </w:r>
    </w:p>
    <w:p w14:paraId="1AABE986">
      <w:pPr>
        <w:spacing w:line="360" w:lineRule="auto"/>
        <w:ind w:firstLine="435"/>
        <w:rPr>
          <w:rFonts w:hint="eastAsia"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分项价格：</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4790"/>
        <w:gridCol w:w="13"/>
        <w:gridCol w:w="3579"/>
        <w:gridCol w:w="13"/>
      </w:tblGrid>
      <w:tr w14:paraId="0507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1" w:type="pct"/>
            <w:vAlign w:val="center"/>
          </w:tcPr>
          <w:p w14:paraId="5E5DBAC4">
            <w:pPr>
              <w:jc w:val="center"/>
              <w:rPr>
                <w:rFonts w:hint="eastAsia"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序号</w:t>
            </w:r>
          </w:p>
        </w:tc>
        <w:tc>
          <w:tcPr>
            <w:tcW w:w="2532" w:type="pct"/>
            <w:vAlign w:val="center"/>
          </w:tcPr>
          <w:p w14:paraId="7DE352BB">
            <w:pPr>
              <w:pStyle w:val="54"/>
              <w:ind w:firstLine="200"/>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分项名称</w:t>
            </w:r>
          </w:p>
        </w:tc>
        <w:tc>
          <w:tcPr>
            <w:tcW w:w="1899" w:type="pct"/>
            <w:gridSpan w:val="2"/>
            <w:vAlign w:val="center"/>
          </w:tcPr>
          <w:p w14:paraId="6243D98B">
            <w:pPr>
              <w:pStyle w:val="54"/>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分项价格</w:t>
            </w:r>
          </w:p>
        </w:tc>
      </w:tr>
      <w:tr w14:paraId="4FA9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1" w:type="pct"/>
          </w:tcPr>
          <w:p w14:paraId="07F378B1">
            <w:pPr>
              <w:jc w:val="center"/>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w:t>
            </w:r>
          </w:p>
        </w:tc>
        <w:tc>
          <w:tcPr>
            <w:tcW w:w="2532" w:type="pct"/>
            <w:vAlign w:val="center"/>
          </w:tcPr>
          <w:p w14:paraId="36E00CE0">
            <w:pPr>
              <w:pStyle w:val="54"/>
              <w:ind w:firstLine="200"/>
              <w:jc w:val="center"/>
              <w:rPr>
                <w:rFonts w:hint="eastAsia" w:asciiTheme="minorEastAsia" w:hAnsiTheme="minorEastAsia" w:eastAsiaTheme="minorEastAsia"/>
                <w:color w:val="auto"/>
                <w:sz w:val="24"/>
                <w:szCs w:val="24"/>
                <w:highlight w:val="none"/>
              </w:rPr>
            </w:pPr>
          </w:p>
        </w:tc>
        <w:tc>
          <w:tcPr>
            <w:tcW w:w="1899" w:type="pct"/>
            <w:gridSpan w:val="2"/>
            <w:vAlign w:val="center"/>
          </w:tcPr>
          <w:p w14:paraId="4EE302D0">
            <w:pPr>
              <w:pStyle w:val="54"/>
              <w:ind w:firstLine="200"/>
              <w:jc w:val="center"/>
              <w:rPr>
                <w:rFonts w:hint="eastAsia" w:asciiTheme="minorEastAsia" w:hAnsiTheme="minorEastAsia" w:eastAsiaTheme="minorEastAsia"/>
                <w:color w:val="auto"/>
                <w:sz w:val="24"/>
                <w:szCs w:val="24"/>
                <w:highlight w:val="none"/>
              </w:rPr>
            </w:pPr>
          </w:p>
        </w:tc>
      </w:tr>
      <w:tr w14:paraId="21A4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0" w:type="pct"/>
            <w:gridSpan w:val="3"/>
            <w:vAlign w:val="center"/>
          </w:tcPr>
          <w:p w14:paraId="1495C32E">
            <w:pPr>
              <w:pStyle w:val="54"/>
              <w:ind w:firstLine="200"/>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总价</w:t>
            </w:r>
          </w:p>
        </w:tc>
        <w:tc>
          <w:tcPr>
            <w:tcW w:w="1899" w:type="pct"/>
            <w:gridSpan w:val="2"/>
            <w:vAlign w:val="center"/>
          </w:tcPr>
          <w:p w14:paraId="6325021F">
            <w:pPr>
              <w:pStyle w:val="54"/>
              <w:ind w:firstLine="200"/>
              <w:jc w:val="center"/>
              <w:rPr>
                <w:rFonts w:hint="eastAsia" w:asciiTheme="minorEastAsia" w:hAnsiTheme="minorEastAsia" w:eastAsiaTheme="minorEastAsia"/>
                <w:color w:val="auto"/>
                <w:sz w:val="24"/>
                <w:szCs w:val="24"/>
                <w:highlight w:val="none"/>
              </w:rPr>
            </w:pPr>
          </w:p>
        </w:tc>
      </w:tr>
    </w:tbl>
    <w:p w14:paraId="5813AE90">
      <w:pPr>
        <w:spacing w:line="360" w:lineRule="auto"/>
        <w:ind w:firstLine="437"/>
        <w:outlineLvl w:val="2"/>
        <w:rPr>
          <w:rFonts w:hint="eastAsia" w:asciiTheme="minorEastAsia" w:hAnsiTheme="minorEastAsia" w:eastAsiaTheme="minorEastAsia"/>
          <w:b/>
          <w:bCs/>
          <w:color w:val="auto"/>
          <w:sz w:val="24"/>
          <w:highlight w:val="none"/>
          <w:lang w:val="zh-CN"/>
        </w:rPr>
      </w:pPr>
      <w:bookmarkStart w:id="83" w:name="_Toc10340"/>
      <w:bookmarkStart w:id="84" w:name="_Toc1814"/>
      <w:bookmarkStart w:id="85" w:name="_Toc22618"/>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4 付款方式和发票开具方式</w:t>
      </w:r>
      <w:bookmarkEnd w:id="83"/>
      <w:bookmarkEnd w:id="84"/>
      <w:bookmarkEnd w:id="85"/>
    </w:p>
    <w:p w14:paraId="5EB1F22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w:t>
      </w:r>
      <w:r>
        <w:rPr>
          <w:rFonts w:asciiTheme="minorEastAsia" w:hAnsiTheme="minorEastAsia" w:eastAsiaTheme="minorEastAsia"/>
          <w:color w:val="auto"/>
          <w:sz w:val="24"/>
          <w:highlight w:val="none"/>
        </w:rPr>
        <w:t>付款方式</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p>
    <w:p w14:paraId="7FF655C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1.4.2发票开具方式：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BB4795B">
      <w:pPr>
        <w:spacing w:line="360" w:lineRule="auto"/>
        <w:ind w:firstLine="437"/>
        <w:outlineLvl w:val="2"/>
        <w:rPr>
          <w:rFonts w:hint="eastAsia" w:asciiTheme="minorEastAsia" w:hAnsiTheme="minorEastAsia" w:eastAsiaTheme="minorEastAsia"/>
          <w:b/>
          <w:bCs/>
          <w:color w:val="auto"/>
          <w:sz w:val="24"/>
          <w:highlight w:val="none"/>
          <w:lang w:val="zh-CN"/>
        </w:rPr>
      </w:pPr>
      <w:bookmarkStart w:id="86" w:name="_Toc2846"/>
      <w:bookmarkStart w:id="87" w:name="_Toc32071"/>
      <w:bookmarkStart w:id="88" w:name="_Toc19304"/>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5 </w:t>
      </w:r>
      <w:r>
        <w:rPr>
          <w:rFonts w:hint="eastAsia" w:asciiTheme="minorEastAsia" w:hAnsiTheme="minorEastAsia" w:eastAsiaTheme="minorEastAsia"/>
          <w:b/>
          <w:bCs/>
          <w:color w:val="auto"/>
          <w:sz w:val="24"/>
          <w:highlight w:val="none"/>
        </w:rPr>
        <w:t>服务</w:t>
      </w:r>
      <w:r>
        <w:rPr>
          <w:rFonts w:asciiTheme="minorEastAsia" w:hAnsiTheme="minorEastAsia" w:eastAsiaTheme="minorEastAsia"/>
          <w:b/>
          <w:bCs/>
          <w:color w:val="auto"/>
          <w:sz w:val="24"/>
          <w:highlight w:val="none"/>
          <w:lang w:val="zh-CN"/>
        </w:rPr>
        <w:t>期限</w:t>
      </w:r>
      <w:r>
        <w:rPr>
          <w:rFonts w:hint="eastAsia" w:asciiTheme="minorEastAsia" w:hAnsiTheme="minorEastAsia" w:eastAsiaTheme="minorEastAsia"/>
          <w:b/>
          <w:bCs/>
          <w:color w:val="auto"/>
          <w:sz w:val="24"/>
          <w:highlight w:val="none"/>
          <w:lang w:val="zh-CN"/>
        </w:rPr>
        <w:t>、地点和方式</w:t>
      </w:r>
      <w:bookmarkEnd w:id="86"/>
      <w:bookmarkEnd w:id="87"/>
      <w:bookmarkEnd w:id="88"/>
    </w:p>
    <w:p w14:paraId="5F08DD96">
      <w:pPr>
        <w:spacing w:line="360" w:lineRule="auto"/>
        <w:ind w:firstLine="435"/>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1.5.1服务期限</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856918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1.5.2服务地点</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22982C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1.5.3服务方式：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8966305">
      <w:pPr>
        <w:spacing w:line="360" w:lineRule="auto"/>
        <w:ind w:firstLine="437"/>
        <w:outlineLvl w:val="2"/>
        <w:rPr>
          <w:rFonts w:hint="eastAsia" w:asciiTheme="minorEastAsia" w:hAnsiTheme="minorEastAsia" w:eastAsiaTheme="minorEastAsia"/>
          <w:b/>
          <w:bCs/>
          <w:color w:val="auto"/>
          <w:sz w:val="24"/>
          <w:highlight w:val="none"/>
          <w:lang w:val="zh-CN"/>
        </w:rPr>
      </w:pPr>
      <w:bookmarkStart w:id="89" w:name="_Toc19554"/>
      <w:bookmarkStart w:id="90" w:name="_Toc21423"/>
      <w:bookmarkStart w:id="91" w:name="_Toc27250"/>
      <w:r>
        <w:rPr>
          <w:rFonts w:hint="eastAsia" w:asciiTheme="minorEastAsia" w:hAnsiTheme="minorEastAsia" w:eastAsiaTheme="minorEastAsia"/>
          <w:b/>
          <w:bCs/>
          <w:color w:val="auto"/>
          <w:sz w:val="24"/>
          <w:highlight w:val="none"/>
          <w:lang w:val="zh-CN"/>
        </w:rPr>
        <w:t>1.6 违约责任</w:t>
      </w:r>
      <w:bookmarkEnd w:id="89"/>
      <w:bookmarkEnd w:id="90"/>
      <w:bookmarkEnd w:id="91"/>
    </w:p>
    <w:p w14:paraId="2AD9450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w:t>
      </w:r>
      <w:r>
        <w:rPr>
          <w:rFonts w:asciiTheme="minorEastAsia" w:hAnsiTheme="minorEastAsia" w:eastAsiaTheme="minorEastAsia"/>
          <w:color w:val="auto"/>
          <w:sz w:val="24"/>
          <w:highlight w:val="none"/>
        </w:rPr>
        <w:t>除不可抗力外，如果乙方没有按照本合同约定的期限</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地点和方式</w:t>
      </w:r>
      <w:r>
        <w:rPr>
          <w:rFonts w:hint="eastAsia" w:asciiTheme="minorEastAsia" w:hAnsiTheme="minorEastAsia" w:eastAsiaTheme="minorEastAsia"/>
          <w:color w:val="auto"/>
          <w:sz w:val="24"/>
          <w:highlight w:val="none"/>
        </w:rPr>
        <w:t>履行</w:t>
      </w:r>
      <w:r>
        <w:rPr>
          <w:rFonts w:asciiTheme="minorEastAsia" w:hAnsiTheme="minorEastAsia" w:eastAsiaTheme="minorEastAsia"/>
          <w:color w:val="auto"/>
          <w:sz w:val="24"/>
          <w:highlight w:val="none"/>
        </w:rPr>
        <w:t>，那么甲方可要求乙方支付违约金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w:t>
      </w:r>
      <w:r>
        <w:rPr>
          <w:rFonts w:hint="eastAsia" w:asciiTheme="minorEastAsia" w:hAnsiTheme="minorEastAsia" w:eastAsiaTheme="minorEastAsia"/>
          <w:color w:val="auto"/>
          <w:sz w:val="24"/>
          <w:highlight w:val="none"/>
        </w:rPr>
        <w:t>履行</w:t>
      </w:r>
      <w:r>
        <w:rPr>
          <w:rFonts w:asciiTheme="minorEastAsia" w:hAnsiTheme="minorEastAsia" w:eastAsiaTheme="minorEastAsia"/>
          <w:color w:val="auto"/>
          <w:sz w:val="24"/>
          <w:highlight w:val="none"/>
        </w:rPr>
        <w:t>一日的应</w:t>
      </w:r>
      <w:r>
        <w:rPr>
          <w:rFonts w:hint="eastAsia" w:asciiTheme="minorEastAsia" w:hAnsiTheme="minorEastAsia" w:eastAsiaTheme="minorEastAsia"/>
          <w:color w:val="auto"/>
          <w:sz w:val="24"/>
          <w:highlight w:val="none"/>
        </w:rPr>
        <w:t>提供而未提供服务</w:t>
      </w:r>
      <w:r>
        <w:rPr>
          <w:rFonts w:asciiTheme="minorEastAsia" w:hAnsiTheme="minorEastAsia" w:eastAsiaTheme="minorEastAsia"/>
          <w:color w:val="auto"/>
          <w:sz w:val="24"/>
          <w:highlight w:val="none"/>
        </w:rPr>
        <w:t>价格的</w:t>
      </w:r>
      <w:r>
        <w:rPr>
          <w:rFonts w:hint="eastAsia" w:asciiTheme="minorEastAsia" w:hAnsiTheme="minorEastAsia" w:eastAsiaTheme="minorEastAsia"/>
          <w:color w:val="auto"/>
          <w:sz w:val="24"/>
          <w:highlight w:val="none"/>
          <w:u w:val="single"/>
        </w:rPr>
        <w:t xml:space="preserve"> 0.</w:t>
      </w:r>
      <w:r>
        <w:rPr>
          <w:rFonts w:hint="eastAsia" w:asciiTheme="minorEastAsia" w:hAnsiTheme="minorEastAsia" w:eastAsiaTheme="minorEastAsia"/>
          <w:color w:val="auto"/>
          <w:sz w:val="24"/>
          <w:highlight w:val="none"/>
          <w:u w:val="single"/>
          <w:lang w:val="en-US" w:eastAsia="zh-CN"/>
        </w:rPr>
        <w:t xml:space="preserve">1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w:t>
      </w:r>
      <w:r>
        <w:rPr>
          <w:rFonts w:hint="eastAsia" w:asciiTheme="minorEastAsia" w:hAnsiTheme="minorEastAsia" w:eastAsiaTheme="minorEastAsia"/>
          <w:color w:val="auto"/>
          <w:sz w:val="24"/>
          <w:highlight w:val="none"/>
        </w:rPr>
        <w:t>履行</w:t>
      </w:r>
      <w:r>
        <w:rPr>
          <w:rFonts w:asciiTheme="minorEastAsia" w:hAnsiTheme="minorEastAsia" w:eastAsiaTheme="minorEastAsia"/>
          <w:color w:val="auto"/>
          <w:sz w:val="24"/>
          <w:highlight w:val="none"/>
        </w:rPr>
        <w:t>的违约金计算数额达到前述最高限额之日起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甲方有权在要求乙方支付违约金的同时</w:t>
      </w:r>
      <w:r>
        <w:rPr>
          <w:rFonts w:hint="eastAsia" w:asciiTheme="minorEastAsia" w:hAnsiTheme="minorEastAsia" w:eastAsiaTheme="minorEastAsia"/>
          <w:color w:val="auto"/>
          <w:sz w:val="24"/>
          <w:highlight w:val="none"/>
        </w:rPr>
        <w:t>，书面通知乙方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1B008B3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w:t>
      </w:r>
      <w:r>
        <w:rPr>
          <w:rFonts w:asciiTheme="minorEastAsia" w:hAnsiTheme="minorEastAsia" w:eastAsiaTheme="minorEastAsia"/>
          <w:color w:val="auto"/>
          <w:sz w:val="24"/>
          <w:highlight w:val="none"/>
        </w:rPr>
        <w:t>除不可抗力外，如果甲方没有按照本合同约定的付款方式付款，那么乙方可要求甲方支付违约金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一日的应付而未付款的</w:t>
      </w:r>
      <w:r>
        <w:rPr>
          <w:rFonts w:hint="eastAsia" w:asciiTheme="minorEastAsia" w:hAnsiTheme="minorEastAsia" w:eastAsiaTheme="minorEastAsia"/>
          <w:color w:val="auto"/>
          <w:sz w:val="24"/>
          <w:highlight w:val="none"/>
          <w:u w:val="single"/>
        </w:rPr>
        <w:t xml:space="preserve"> 0.</w:t>
      </w:r>
      <w:r>
        <w:rPr>
          <w:rFonts w:hint="eastAsia" w:asciiTheme="minorEastAsia" w:hAnsiTheme="minorEastAsia" w:eastAsiaTheme="minorEastAsia"/>
          <w:color w:val="auto"/>
          <w:sz w:val="24"/>
          <w:highlight w:val="none"/>
          <w:u w:val="single"/>
          <w:lang w:val="en-US" w:eastAsia="zh-CN"/>
        </w:rPr>
        <w:t>1</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的违约金计算数额达到前述最高限额之日起</w:t>
      </w:r>
      <w:r>
        <w:rPr>
          <w:rFonts w:hint="eastAsia" w:asciiTheme="minorEastAsia" w:hAnsiTheme="minorEastAsia" w:eastAsiaTheme="minorEastAsia"/>
          <w:color w:val="auto"/>
          <w:sz w:val="24"/>
          <w:highlight w:val="none"/>
        </w:rPr>
        <w:t>，乙</w:t>
      </w:r>
      <w:r>
        <w:rPr>
          <w:rFonts w:asciiTheme="minorEastAsia" w:hAnsiTheme="minorEastAsia" w:eastAsiaTheme="minorEastAsia"/>
          <w:color w:val="auto"/>
          <w:sz w:val="24"/>
          <w:highlight w:val="none"/>
        </w:rPr>
        <w:t>方有权在要求甲方支付违约金的同时</w:t>
      </w:r>
      <w:r>
        <w:rPr>
          <w:rFonts w:hint="eastAsia" w:asciiTheme="minorEastAsia" w:hAnsiTheme="minorEastAsia" w:eastAsiaTheme="minorEastAsia"/>
          <w:color w:val="auto"/>
          <w:sz w:val="24"/>
          <w:highlight w:val="none"/>
        </w:rPr>
        <w:t>，书面通知甲方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5F0715F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C8AADF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3400F4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319195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78D0018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1.6.7</w:t>
      </w:r>
      <w:r>
        <w:rPr>
          <w:rFonts w:cs="Times New Roman" w:asciiTheme="minorEastAsia" w:hAnsiTheme="minorEastAsia" w:eastAsiaTheme="minorEastAsia"/>
          <w:color w:val="auto"/>
          <w:sz w:val="24"/>
          <w:szCs w:val="24"/>
          <w:highlight w:val="none"/>
        </w:rPr>
        <w:t>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4D9CE9CC">
      <w:pPr>
        <w:spacing w:line="360" w:lineRule="auto"/>
        <w:ind w:firstLine="437"/>
        <w:outlineLvl w:val="2"/>
        <w:rPr>
          <w:rFonts w:hint="eastAsia" w:asciiTheme="minorEastAsia" w:hAnsiTheme="minorEastAsia" w:eastAsiaTheme="minorEastAsia"/>
          <w:b/>
          <w:bCs/>
          <w:color w:val="auto"/>
          <w:sz w:val="24"/>
          <w:highlight w:val="none"/>
          <w:lang w:val="zh-CN"/>
        </w:rPr>
      </w:pPr>
      <w:bookmarkStart w:id="92" w:name="_Toc28375"/>
      <w:bookmarkStart w:id="93" w:name="_Toc16021"/>
      <w:bookmarkStart w:id="94" w:name="_Toc15583"/>
      <w:r>
        <w:rPr>
          <w:rFonts w:hint="eastAsia" w:asciiTheme="minorEastAsia" w:hAnsiTheme="minorEastAsia" w:eastAsiaTheme="minorEastAsia"/>
          <w:b/>
          <w:bCs/>
          <w:color w:val="auto"/>
          <w:sz w:val="24"/>
          <w:highlight w:val="none"/>
          <w:lang w:val="zh-CN"/>
        </w:rPr>
        <w:t>1.7</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w:t>
      </w:r>
      <w:r>
        <w:rPr>
          <w:rFonts w:asciiTheme="minorEastAsia" w:hAnsiTheme="minorEastAsia" w:eastAsiaTheme="minorEastAsia"/>
          <w:b/>
          <w:bCs/>
          <w:color w:val="auto"/>
          <w:sz w:val="24"/>
          <w:highlight w:val="none"/>
          <w:lang w:val="zh-CN"/>
        </w:rPr>
        <w:t>争议的解决</w:t>
      </w:r>
      <w:bookmarkEnd w:id="92"/>
      <w:bookmarkEnd w:id="93"/>
      <w:bookmarkEnd w:id="94"/>
    </w:p>
    <w:p w14:paraId="62DFD04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w:t>
      </w:r>
      <w:r>
        <w:rPr>
          <w:rFonts w:asciiTheme="minorEastAsia" w:hAnsiTheme="minorEastAsia" w:eastAsiaTheme="minorEastAsia"/>
          <w:color w:val="auto"/>
          <w:sz w:val="24"/>
          <w:highlight w:val="none"/>
        </w:rPr>
        <w:t>同履行过程中发生的任何争议，双方当事人均可</w:t>
      </w:r>
      <w:r>
        <w:rPr>
          <w:rFonts w:hint="eastAsia" w:asciiTheme="minorEastAsia" w:hAnsiTheme="minorEastAsia" w:eastAsiaTheme="minorEastAsia"/>
          <w:color w:val="auto"/>
          <w:sz w:val="24"/>
          <w:highlight w:val="none"/>
        </w:rPr>
        <w:t>通过和解或者调解解决；不愿和解、调解或者和解、调解不成的，可以选择下列第</w:t>
      </w:r>
      <w:r>
        <w:rPr>
          <w:rFonts w:hint="eastAsia" w:asciiTheme="minorEastAsia" w:hAnsiTheme="minorEastAsia" w:eastAsiaTheme="minorEastAsia"/>
          <w:color w:val="auto"/>
          <w:sz w:val="24"/>
          <w:highlight w:val="none"/>
          <w:u w:val="single"/>
        </w:rPr>
        <w:t xml:space="preserve">  1.7.</w:t>
      </w:r>
      <w:r>
        <w:rPr>
          <w:rFonts w:hint="eastAsia" w:asciiTheme="minorEastAsia" w:hAnsiTheme="minorEastAsia" w:eastAsiaTheme="minorEastAsia"/>
          <w:color w:val="auto"/>
          <w:sz w:val="24"/>
          <w:highlight w:val="none"/>
          <w:u w:val="single"/>
          <w:lang w:val="en-US" w:eastAsia="zh-CN"/>
        </w:rPr>
        <w:t>2</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种方式解决：</w:t>
      </w:r>
    </w:p>
    <w:p w14:paraId="0F0188C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1.7.1将争议提交</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滁州市</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仲裁委员会依申请仲裁时其现行有效的仲裁规则裁决；</w:t>
      </w:r>
    </w:p>
    <w:p w14:paraId="707C71E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1.7.2向</w:t>
      </w:r>
      <w:r>
        <w:rPr>
          <w:rFonts w:hint="eastAsia" w:asciiTheme="minorEastAsia" w:hAnsiTheme="minorEastAsia" w:eastAsiaTheme="minorEastAsia"/>
          <w:color w:val="auto"/>
          <w:sz w:val="24"/>
          <w:highlight w:val="none"/>
          <w:u w:val="single"/>
        </w:rPr>
        <w:t xml:space="preserve">  项目所在地</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人民法院起诉。</w:t>
      </w:r>
    </w:p>
    <w:p w14:paraId="5B6A875F">
      <w:pPr>
        <w:spacing w:line="360" w:lineRule="auto"/>
        <w:ind w:firstLine="437"/>
        <w:outlineLvl w:val="2"/>
        <w:rPr>
          <w:rFonts w:hint="eastAsia" w:asciiTheme="minorEastAsia" w:hAnsiTheme="minorEastAsia" w:eastAsiaTheme="minorEastAsia"/>
          <w:b/>
          <w:bCs/>
          <w:color w:val="auto"/>
          <w:sz w:val="24"/>
          <w:highlight w:val="none"/>
          <w:lang w:val="zh-CN"/>
        </w:rPr>
      </w:pPr>
      <w:bookmarkStart w:id="95" w:name="_Toc15322"/>
      <w:bookmarkStart w:id="96" w:name="_Toc11173"/>
      <w:bookmarkStart w:id="97" w:name="_Toc7245"/>
      <w:r>
        <w:rPr>
          <w:rFonts w:hint="eastAsia" w:asciiTheme="minorEastAsia" w:hAnsiTheme="minorEastAsia" w:eastAsiaTheme="minorEastAsia"/>
          <w:b/>
          <w:bCs/>
          <w:color w:val="auto"/>
          <w:sz w:val="24"/>
          <w:highlight w:val="none"/>
          <w:lang w:val="zh-CN"/>
        </w:rPr>
        <w:t>1.8</w:t>
      </w:r>
      <w:r>
        <w:rPr>
          <w:rFonts w:asciiTheme="minorEastAsia" w:hAnsiTheme="minorEastAsia" w:eastAsiaTheme="minorEastAsia"/>
          <w:b/>
          <w:bCs/>
          <w:color w:val="auto"/>
          <w:sz w:val="24"/>
          <w:highlight w:val="none"/>
          <w:lang w:val="zh-CN"/>
        </w:rPr>
        <w:t xml:space="preserve"> 合同生效</w:t>
      </w:r>
      <w:bookmarkEnd w:id="95"/>
      <w:bookmarkEnd w:id="96"/>
      <w:bookmarkEnd w:id="97"/>
    </w:p>
    <w:p w14:paraId="4B47C24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本合同自</w:t>
      </w:r>
      <w:r>
        <w:rPr>
          <w:rFonts w:hint="eastAsia" w:asciiTheme="minorEastAsia" w:hAnsiTheme="minorEastAsia" w:eastAsiaTheme="minorEastAsia"/>
          <w:color w:val="auto"/>
          <w:sz w:val="24"/>
          <w:highlight w:val="none"/>
        </w:rPr>
        <w:t>双方当事人盖章时</w:t>
      </w:r>
      <w:r>
        <w:rPr>
          <w:rFonts w:asciiTheme="minorEastAsia" w:hAnsiTheme="minorEastAsia" w:eastAsiaTheme="minorEastAsia"/>
          <w:color w:val="auto"/>
          <w:sz w:val="24"/>
          <w:highlight w:val="none"/>
        </w:rPr>
        <w:t>生效。</w:t>
      </w:r>
    </w:p>
    <w:p w14:paraId="06259600">
      <w:pPr>
        <w:autoSpaceDE w:val="0"/>
        <w:autoSpaceDN w:val="0"/>
        <w:adjustRightInd w:val="0"/>
        <w:spacing w:line="560" w:lineRule="exact"/>
        <w:rPr>
          <w:rFonts w:hint="eastAsia" w:asciiTheme="minorEastAsia" w:hAnsiTheme="minorEastAsia" w:eastAsiaTheme="minorEastAsia"/>
          <w:color w:val="auto"/>
          <w:sz w:val="24"/>
          <w:highlight w:val="none"/>
          <w:lang w:val="zh-CN"/>
        </w:rPr>
      </w:pPr>
    </w:p>
    <w:p w14:paraId="301C3F1C">
      <w:pPr>
        <w:autoSpaceDE w:val="0"/>
        <w:autoSpaceDN w:val="0"/>
        <w:adjustRightInd w:val="0"/>
        <w:spacing w:line="560" w:lineRule="exact"/>
        <w:rPr>
          <w:rFonts w:hint="eastAsia" w:asciiTheme="minorEastAsia" w:hAnsiTheme="minorEastAsia" w:eastAsiaTheme="minorEastAsia"/>
          <w:color w:val="auto"/>
          <w:sz w:val="24"/>
          <w:highlight w:val="none"/>
          <w:lang w:val="zh-CN"/>
        </w:rPr>
      </w:pPr>
    </w:p>
    <w:p w14:paraId="6328E194">
      <w:pPr>
        <w:autoSpaceDE w:val="0"/>
        <w:autoSpaceDN w:val="0"/>
        <w:adjustRightInd w:val="0"/>
        <w:spacing w:line="560" w:lineRule="exact"/>
        <w:rPr>
          <w:rFonts w:hint="eastAsia" w:cs="Times New Roman" w:asciiTheme="minorEastAsia" w:hAnsiTheme="minorEastAsia" w:eastAsiaTheme="minorEastAsia"/>
          <w:bCs/>
          <w:color w:val="auto"/>
          <w:sz w:val="24"/>
          <w:szCs w:val="24"/>
          <w:highlight w:val="none"/>
          <w:lang w:val="zh-CN"/>
        </w:rPr>
      </w:pPr>
      <w:bookmarkStart w:id="98" w:name="_Toc331685783"/>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2C11A937">
      <w:pPr>
        <w:autoSpaceDE w:val="0"/>
        <w:autoSpaceDN w:val="0"/>
        <w:adjustRightInd w:val="0"/>
        <w:spacing w:line="560" w:lineRule="exact"/>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6B259FC3">
      <w:pPr>
        <w:autoSpaceDE w:val="0"/>
        <w:autoSpaceDN w:val="0"/>
        <w:adjustRightInd w:val="0"/>
        <w:spacing w:line="560" w:lineRule="exact"/>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1E71756A">
      <w:pPr>
        <w:widowControl/>
        <w:spacing w:line="560" w:lineRule="exact"/>
        <w:jc w:val="left"/>
        <w:rPr>
          <w:rFonts w:hint="eastAsia"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39344E61">
      <w:pPr>
        <w:widowControl/>
        <w:spacing w:line="560" w:lineRule="exact"/>
        <w:jc w:val="left"/>
        <w:rPr>
          <w:rFonts w:hint="eastAsia"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 xml:space="preserve">                                        乙方账户信息</w:t>
      </w:r>
    </w:p>
    <w:p w14:paraId="7BB40310">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户名：</w:t>
      </w:r>
      <w:r>
        <w:rPr>
          <w:rFonts w:hint="eastAsia" w:cs="Times New Roman" w:asciiTheme="minorEastAsia" w:hAnsiTheme="minorEastAsia" w:eastAsiaTheme="minorEastAsia"/>
          <w:bCs/>
          <w:color w:val="auto"/>
          <w:sz w:val="24"/>
          <w:szCs w:val="24"/>
          <w:highlight w:val="none"/>
          <w:u w:val="single"/>
        </w:rPr>
        <w:t xml:space="preserve">                    </w:t>
      </w:r>
    </w:p>
    <w:p w14:paraId="698D7D9C">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账号：</w:t>
      </w:r>
      <w:r>
        <w:rPr>
          <w:rFonts w:hint="eastAsia" w:cs="Times New Roman" w:asciiTheme="minorEastAsia" w:hAnsiTheme="minorEastAsia" w:eastAsiaTheme="minorEastAsia"/>
          <w:bCs/>
          <w:color w:val="auto"/>
          <w:sz w:val="24"/>
          <w:szCs w:val="24"/>
          <w:highlight w:val="none"/>
          <w:u w:val="single"/>
        </w:rPr>
        <w:t xml:space="preserve">                    </w:t>
      </w:r>
    </w:p>
    <w:p w14:paraId="3FE8D9EC">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开户银行：</w:t>
      </w:r>
      <w:r>
        <w:rPr>
          <w:rFonts w:hint="eastAsia" w:cs="Times New Roman" w:asciiTheme="minorEastAsia" w:hAnsiTheme="minorEastAsia" w:eastAsiaTheme="minorEastAsia"/>
          <w:bCs/>
          <w:color w:val="auto"/>
          <w:sz w:val="24"/>
          <w:szCs w:val="24"/>
          <w:highlight w:val="none"/>
          <w:u w:val="single"/>
        </w:rPr>
        <w:t xml:space="preserve">                </w:t>
      </w:r>
    </w:p>
    <w:p w14:paraId="0C3D56A4">
      <w:pPr>
        <w:widowControl/>
        <w:jc w:val="left"/>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2CDE06FB">
      <w:pPr>
        <w:spacing w:line="360" w:lineRule="auto"/>
        <w:jc w:val="center"/>
        <w:outlineLvl w:val="1"/>
        <w:rPr>
          <w:rFonts w:hint="eastAsia" w:asciiTheme="minorEastAsia" w:hAnsiTheme="minorEastAsia" w:eastAsiaTheme="minorEastAsia"/>
          <w:b/>
          <w:color w:val="auto"/>
          <w:sz w:val="24"/>
          <w:highlight w:val="none"/>
        </w:rPr>
      </w:pPr>
      <w:bookmarkStart w:id="99" w:name="_Toc20177"/>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98"/>
      <w:bookmarkEnd w:id="99"/>
    </w:p>
    <w:p w14:paraId="05BDF77C">
      <w:pPr>
        <w:spacing w:line="360" w:lineRule="auto"/>
        <w:ind w:firstLine="437"/>
        <w:outlineLvl w:val="2"/>
        <w:rPr>
          <w:rFonts w:hint="eastAsia" w:asciiTheme="minorEastAsia" w:hAnsiTheme="minorEastAsia" w:eastAsiaTheme="minorEastAsia"/>
          <w:b/>
          <w:bCs/>
          <w:color w:val="auto"/>
          <w:sz w:val="24"/>
          <w:highlight w:val="none"/>
          <w:lang w:val="zh-CN"/>
        </w:rPr>
      </w:pPr>
      <w:bookmarkStart w:id="100" w:name="_Ref467379205"/>
      <w:bookmarkStart w:id="101" w:name="_Ref467379109"/>
      <w:bookmarkStart w:id="102" w:name="_Ref467379094"/>
      <w:bookmarkStart w:id="103" w:name="_Toc16917"/>
      <w:bookmarkStart w:id="104" w:name="_Ref467379195"/>
      <w:bookmarkStart w:id="105" w:name="_Ref467378499"/>
      <w:bookmarkStart w:id="106" w:name="_Toc259093669"/>
      <w:bookmarkStart w:id="107" w:name="_Toc28763"/>
      <w:bookmarkStart w:id="108" w:name="_Ref467379214"/>
      <w:bookmarkStart w:id="109" w:name="_Ref467379225"/>
      <w:bookmarkStart w:id="110" w:name="_Toc19614"/>
      <w:bookmarkStart w:id="111" w:name="_Ref467378404"/>
      <w:bookmarkStart w:id="112" w:name="_Toc487900349"/>
      <w:bookmarkStart w:id="113" w:name="_Toc279701240"/>
      <w:bookmarkStart w:id="114" w:name="_Ref467378463"/>
      <w:bookmarkStart w:id="115" w:name="_Ref467379101"/>
      <w:r>
        <w:rPr>
          <w:rFonts w:hint="eastAsia" w:asciiTheme="minorEastAsia" w:hAnsiTheme="minorEastAsia" w:eastAsiaTheme="minorEastAsia"/>
          <w:b/>
          <w:bCs/>
          <w:color w:val="auto"/>
          <w:sz w:val="24"/>
          <w:highlight w:val="none"/>
          <w:lang w:val="zh-CN"/>
        </w:rPr>
        <w:t>2.1</w:t>
      </w:r>
      <w:r>
        <w:rPr>
          <w:rFonts w:asciiTheme="minorEastAsia" w:hAnsiTheme="minorEastAsia" w:eastAsiaTheme="minorEastAsia"/>
          <w:b/>
          <w:bCs/>
          <w:color w:val="auto"/>
          <w:sz w:val="24"/>
          <w:highlight w:val="none"/>
          <w:lang w:val="zh-CN"/>
        </w:rPr>
        <w:t xml:space="preserve"> 定义</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A2268E3">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本合同中的下列</w:t>
      </w:r>
      <w:r>
        <w:rPr>
          <w:rFonts w:hint="eastAsia" w:asciiTheme="minorEastAsia" w:hAnsiTheme="minorEastAsia" w:eastAsiaTheme="minorEastAsia"/>
          <w:color w:val="auto"/>
          <w:sz w:val="24"/>
          <w:highlight w:val="none"/>
        </w:rPr>
        <w:t>词</w:t>
      </w:r>
      <w:r>
        <w:rPr>
          <w:rFonts w:asciiTheme="minorEastAsia" w:hAnsiTheme="minorEastAsia" w:eastAsiaTheme="minorEastAsia"/>
          <w:color w:val="auto"/>
          <w:sz w:val="24"/>
          <w:highlight w:val="none"/>
        </w:rPr>
        <w:t>语应</w:t>
      </w:r>
      <w:r>
        <w:rPr>
          <w:rFonts w:hint="eastAsia" w:asciiTheme="minorEastAsia" w:hAnsiTheme="minorEastAsia" w:eastAsiaTheme="minorEastAsia"/>
          <w:color w:val="auto"/>
          <w:sz w:val="24"/>
          <w:highlight w:val="none"/>
        </w:rPr>
        <w:t>按以下内容进行</w:t>
      </w:r>
      <w:r>
        <w:rPr>
          <w:rFonts w:asciiTheme="minorEastAsia" w:hAnsiTheme="minorEastAsia" w:eastAsiaTheme="minorEastAsia"/>
          <w:color w:val="auto"/>
          <w:sz w:val="24"/>
          <w:highlight w:val="none"/>
        </w:rPr>
        <w:t>解释：</w:t>
      </w:r>
    </w:p>
    <w:p w14:paraId="3D76EA8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“合同”系指采购人和成交供应商签订的载明双方当事人所达成的协议，并包括所有的附件、附录和构成合同的其他文件。</w:t>
      </w:r>
    </w:p>
    <w:p w14:paraId="71533C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1.2“合同价”系指根据合同约定，成交供应商在完全履行合同义务后</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采购人应支付给成交供应商的价格。</w:t>
      </w:r>
    </w:p>
    <w:p w14:paraId="17C40A1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1.3“</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”系指</w:t>
      </w:r>
      <w:r>
        <w:rPr>
          <w:rFonts w:hint="eastAsia" w:asciiTheme="minorEastAsia" w:hAnsiTheme="minorEastAsia" w:eastAsiaTheme="minorEastAsia"/>
          <w:color w:val="auto"/>
          <w:sz w:val="24"/>
          <w:highlight w:val="none"/>
        </w:rPr>
        <w:t>成交供应商根据合同约定应向采购人履行的除货物和工程以外的其他政府采购对象，包括采购人自身需要的服务和向社会公众提供的公共服务。</w:t>
      </w:r>
    </w:p>
    <w:p w14:paraId="509E0DAE">
      <w:pPr>
        <w:spacing w:line="360" w:lineRule="auto"/>
        <w:ind w:firstLine="435"/>
        <w:rPr>
          <w:rFonts w:hint="eastAsia" w:asciiTheme="minorEastAsia" w:hAnsiTheme="minorEastAsia" w:eastAsiaTheme="minorEastAsia"/>
          <w:color w:val="auto"/>
          <w:sz w:val="24"/>
          <w:highlight w:val="none"/>
        </w:rPr>
      </w:pPr>
      <w:bookmarkStart w:id="116" w:name="_Ref467378840"/>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甲方</w:t>
      </w:r>
      <w:r>
        <w:rPr>
          <w:rFonts w:asciiTheme="minorEastAsia" w:hAnsiTheme="minorEastAsia" w:eastAsiaTheme="minorEastAsia"/>
          <w:color w:val="auto"/>
          <w:sz w:val="24"/>
          <w:highlight w:val="none"/>
        </w:rPr>
        <w:t>”系指与</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签署合同的采购人</w:t>
      </w:r>
      <w:bookmarkEnd w:id="116"/>
      <w:r>
        <w:rPr>
          <w:rFonts w:hint="eastAsia" w:asciiTheme="minorEastAsia" w:hAnsiTheme="minorEastAsia" w:eastAsiaTheme="minorEastAsia"/>
          <w:color w:val="auto"/>
          <w:sz w:val="24"/>
          <w:highlight w:val="none"/>
        </w:rPr>
        <w:t>；采购人委托采购代理机构代表其与乙方签订合同的，采购人的授权委托书作为合同附件。</w:t>
      </w:r>
    </w:p>
    <w:p w14:paraId="35FC8642">
      <w:pPr>
        <w:spacing w:line="360" w:lineRule="auto"/>
        <w:ind w:firstLine="435"/>
        <w:rPr>
          <w:rFonts w:hint="eastAsia" w:asciiTheme="minorEastAsia" w:hAnsiTheme="minorEastAsia" w:eastAsiaTheme="minorEastAsia"/>
          <w:color w:val="auto"/>
          <w:sz w:val="24"/>
          <w:highlight w:val="none"/>
        </w:rPr>
      </w:pPr>
      <w:bookmarkStart w:id="117" w:name="_Ref467379400"/>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“乙方”系指根据合同约定</w:t>
      </w:r>
      <w:r>
        <w:rPr>
          <w:rFonts w:hint="eastAsia" w:asciiTheme="minorEastAsia" w:hAnsiTheme="minorEastAsia" w:eastAsiaTheme="minorEastAsia"/>
          <w:color w:val="auto"/>
          <w:sz w:val="24"/>
          <w:highlight w:val="none"/>
        </w:rPr>
        <w:t>提供服务</w:t>
      </w:r>
      <w:r>
        <w:rPr>
          <w:rFonts w:asciiTheme="minorEastAsia" w:hAnsiTheme="minorEastAsia" w:eastAsiaTheme="minorEastAsia"/>
          <w:color w:val="auto"/>
          <w:sz w:val="24"/>
          <w:highlight w:val="none"/>
        </w:rPr>
        <w:t>的成交供应商</w:t>
      </w:r>
      <w:bookmarkEnd w:id="117"/>
      <w:r>
        <w:rPr>
          <w:rFonts w:hint="eastAsia" w:asciiTheme="minorEastAsia" w:hAnsiTheme="minorEastAsia" w:eastAsiaTheme="minorEastAsia"/>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F2AF94D">
      <w:pPr>
        <w:spacing w:line="360" w:lineRule="auto"/>
        <w:ind w:firstLine="435"/>
        <w:rPr>
          <w:rFonts w:hint="eastAsia" w:asciiTheme="minorEastAsia" w:hAnsiTheme="minorEastAsia" w:eastAsiaTheme="minorEastAsia"/>
          <w:color w:val="auto"/>
          <w:sz w:val="24"/>
          <w:highlight w:val="none"/>
        </w:rPr>
      </w:pPr>
      <w:bookmarkStart w:id="118" w:name="_Ref467379436"/>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“现场”系指合同约定</w:t>
      </w:r>
      <w:r>
        <w:rPr>
          <w:rFonts w:hint="eastAsia" w:asciiTheme="minorEastAsia" w:hAnsiTheme="minorEastAsia" w:eastAsiaTheme="minorEastAsia"/>
          <w:color w:val="auto"/>
          <w:sz w:val="24"/>
          <w:highlight w:val="none"/>
        </w:rPr>
        <w:t>提供服务</w:t>
      </w:r>
      <w:r>
        <w:rPr>
          <w:rFonts w:asciiTheme="minorEastAsia" w:hAnsiTheme="minorEastAsia" w:eastAsiaTheme="minorEastAsia"/>
          <w:color w:val="auto"/>
          <w:sz w:val="24"/>
          <w:highlight w:val="none"/>
        </w:rPr>
        <w:t>的地点。</w:t>
      </w:r>
      <w:bookmarkEnd w:id="118"/>
    </w:p>
    <w:p w14:paraId="0B17AA23">
      <w:pPr>
        <w:spacing w:line="360" w:lineRule="auto"/>
        <w:ind w:firstLine="437"/>
        <w:outlineLvl w:val="2"/>
        <w:rPr>
          <w:rFonts w:hint="eastAsia" w:asciiTheme="minorEastAsia" w:hAnsiTheme="minorEastAsia" w:eastAsiaTheme="minorEastAsia"/>
          <w:b/>
          <w:bCs/>
          <w:color w:val="auto"/>
          <w:sz w:val="24"/>
          <w:highlight w:val="none"/>
          <w:lang w:val="zh-CN"/>
        </w:rPr>
      </w:pPr>
      <w:bookmarkStart w:id="119" w:name="_Toc487900350"/>
      <w:bookmarkStart w:id="120" w:name="_Toc27635"/>
      <w:bookmarkStart w:id="121" w:name="_Toc13336"/>
      <w:bookmarkStart w:id="122" w:name="_Toc259093670"/>
      <w:bookmarkStart w:id="123" w:name="_Toc279701241"/>
      <w:bookmarkStart w:id="124" w:name="_Toc32504"/>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2 技术规范</w:t>
      </w:r>
      <w:bookmarkEnd w:id="119"/>
      <w:bookmarkEnd w:id="120"/>
      <w:bookmarkEnd w:id="121"/>
      <w:bookmarkEnd w:id="122"/>
      <w:bookmarkEnd w:id="123"/>
      <w:bookmarkEnd w:id="124"/>
    </w:p>
    <w:p w14:paraId="3DD2E163">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货物所应遵守的技术规范应与采购文件规定的技术规范和技术规范附件(如果有的话)及其技术规范偏差表(如果被甲方接受的话)相一致</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如果采购文件中没有技术规范的相应说明，那么应以国家有关部门最新颁布的相应标准</w:t>
      </w:r>
      <w:r>
        <w:rPr>
          <w:rFonts w:hint="eastAsia" w:asciiTheme="minorEastAsia" w:hAnsiTheme="minorEastAsia" w:eastAsiaTheme="minorEastAsia"/>
          <w:color w:val="auto"/>
          <w:sz w:val="24"/>
          <w:highlight w:val="none"/>
        </w:rPr>
        <w:t>和</w:t>
      </w:r>
      <w:r>
        <w:rPr>
          <w:rFonts w:asciiTheme="minorEastAsia" w:hAnsiTheme="minorEastAsia" w:eastAsiaTheme="minorEastAsia"/>
          <w:color w:val="auto"/>
          <w:sz w:val="24"/>
          <w:highlight w:val="none"/>
        </w:rPr>
        <w:t>规范为准。</w:t>
      </w:r>
    </w:p>
    <w:p w14:paraId="0BAF79AB">
      <w:pPr>
        <w:spacing w:line="360" w:lineRule="auto"/>
        <w:ind w:firstLine="437"/>
        <w:outlineLvl w:val="2"/>
        <w:rPr>
          <w:rFonts w:hint="eastAsia" w:asciiTheme="minorEastAsia" w:hAnsiTheme="minorEastAsia" w:eastAsiaTheme="minorEastAsia"/>
          <w:b/>
          <w:bCs/>
          <w:color w:val="auto"/>
          <w:sz w:val="24"/>
          <w:highlight w:val="none"/>
          <w:lang w:val="zh-CN"/>
        </w:rPr>
      </w:pPr>
      <w:bookmarkStart w:id="125" w:name="_Toc27853"/>
      <w:bookmarkStart w:id="126" w:name="_Toc259093671"/>
      <w:bookmarkStart w:id="127" w:name="_Toc279701242"/>
      <w:bookmarkStart w:id="128" w:name="_Toc487900351"/>
      <w:bookmarkStart w:id="129" w:name="_Toc9829"/>
      <w:bookmarkStart w:id="130" w:name="_Toc31634"/>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3 知识产权</w:t>
      </w:r>
      <w:bookmarkEnd w:id="125"/>
      <w:bookmarkEnd w:id="126"/>
      <w:bookmarkEnd w:id="127"/>
      <w:bookmarkEnd w:id="128"/>
      <w:bookmarkEnd w:id="129"/>
      <w:bookmarkEnd w:id="130"/>
    </w:p>
    <w:p w14:paraId="1414400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2.3.1乙</w:t>
      </w:r>
      <w:r>
        <w:rPr>
          <w:rFonts w:asciiTheme="minorEastAsia" w:hAnsiTheme="minorEastAsia" w:eastAsiaTheme="minorEastAsia"/>
          <w:color w:val="auto"/>
          <w:sz w:val="24"/>
          <w:highlight w:val="none"/>
        </w:rPr>
        <w:t>方应保证甲方在使用该货物或其任何一部分时不受任何第三方提出的侵犯其著作权、商标权、专利权等知识产权方面的起诉</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如果任何第三方提出侵权</w:t>
      </w:r>
      <w:r>
        <w:rPr>
          <w:rFonts w:hint="eastAsia" w:asciiTheme="minorEastAsia" w:hAnsiTheme="minorEastAsia" w:eastAsiaTheme="minorEastAsia"/>
          <w:color w:val="auto"/>
          <w:sz w:val="24"/>
          <w:highlight w:val="none"/>
        </w:rPr>
        <w:t>指控</w:t>
      </w:r>
      <w:r>
        <w:rPr>
          <w:rFonts w:asciiTheme="minorEastAsia" w:hAnsiTheme="minorEastAsia" w:eastAsiaTheme="minorEastAsia"/>
          <w:color w:val="auto"/>
          <w:sz w:val="24"/>
          <w:highlight w:val="none"/>
        </w:rPr>
        <w:t>，那么乙方须与该第三方交涉并承担由此发生的一切责任、费用和赔偿</w:t>
      </w:r>
      <w:r>
        <w:rPr>
          <w:rFonts w:hint="eastAsia" w:asciiTheme="minorEastAsia" w:hAnsiTheme="minorEastAsia" w:eastAsiaTheme="minorEastAsia"/>
          <w:color w:val="auto"/>
          <w:sz w:val="24"/>
          <w:highlight w:val="none"/>
        </w:rPr>
        <w:t>；</w:t>
      </w:r>
    </w:p>
    <w:p w14:paraId="7DC1CE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2.3.2具有知识产权的计算机软件等货物的知识产权归属，</w:t>
      </w:r>
      <w:r>
        <w:rPr>
          <w:rFonts w:asciiTheme="minorEastAsia" w:hAnsiTheme="minorEastAsia" w:eastAsiaTheme="minorEastAsia"/>
          <w:color w:val="auto"/>
          <w:sz w:val="24"/>
          <w:highlight w:val="none"/>
        </w:rPr>
        <w:t>详见</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w:t>
      </w:r>
    </w:p>
    <w:p w14:paraId="6CB80685">
      <w:pPr>
        <w:spacing w:line="360" w:lineRule="auto"/>
        <w:ind w:firstLine="437"/>
        <w:outlineLvl w:val="2"/>
        <w:rPr>
          <w:rFonts w:hint="eastAsia" w:asciiTheme="minorEastAsia" w:hAnsiTheme="minorEastAsia" w:eastAsiaTheme="minorEastAsia"/>
          <w:b/>
          <w:color w:val="auto"/>
          <w:sz w:val="24"/>
          <w:highlight w:val="none"/>
        </w:rPr>
      </w:pPr>
      <w:bookmarkStart w:id="131" w:name="_Toc11932"/>
      <w:bookmarkStart w:id="132" w:name="_Toc4194"/>
      <w:bookmarkStart w:id="133" w:name="_Toc29149"/>
      <w:r>
        <w:rPr>
          <w:rFonts w:hint="eastAsia" w:asciiTheme="minorEastAsia" w:hAnsiTheme="minorEastAsia" w:eastAsiaTheme="minorEastAsia"/>
          <w:b/>
          <w:bCs/>
          <w:color w:val="auto"/>
          <w:sz w:val="24"/>
          <w:highlight w:val="none"/>
          <w:lang w:val="zh-CN"/>
        </w:rPr>
        <w:t>2.4</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包装和装运</w:t>
      </w:r>
      <w:bookmarkEnd w:id="131"/>
      <w:bookmarkEnd w:id="132"/>
      <w:bookmarkEnd w:id="133"/>
    </w:p>
    <w:p w14:paraId="4E266CE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2.4.1除</w:t>
      </w:r>
      <w:r>
        <w:rPr>
          <w:rFonts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4D4FBB8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2.4.2装运货物的要求和通知，详见</w:t>
      </w:r>
      <w:r>
        <w:rPr>
          <w:rFonts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color w:val="auto"/>
          <w:sz w:val="24"/>
          <w:highlight w:val="none"/>
        </w:rPr>
        <w:t>。</w:t>
      </w:r>
    </w:p>
    <w:p w14:paraId="3D744903">
      <w:pPr>
        <w:spacing w:line="360" w:lineRule="auto"/>
        <w:ind w:firstLine="437"/>
        <w:outlineLvl w:val="2"/>
        <w:rPr>
          <w:rFonts w:hint="eastAsia" w:asciiTheme="minorEastAsia" w:hAnsiTheme="minorEastAsia" w:eastAsiaTheme="minorEastAsia"/>
          <w:b/>
          <w:bCs/>
          <w:color w:val="auto"/>
          <w:sz w:val="24"/>
          <w:highlight w:val="none"/>
          <w:lang w:val="zh-CN"/>
        </w:rPr>
      </w:pPr>
      <w:bookmarkStart w:id="134" w:name="_Toc279701245"/>
      <w:bookmarkStart w:id="135" w:name="_Ref467378541"/>
      <w:bookmarkStart w:id="136" w:name="_Ref467378591"/>
      <w:bookmarkStart w:id="137" w:name="_Toc259093674"/>
      <w:bookmarkStart w:id="138" w:name="_Ref467379527"/>
      <w:bookmarkStart w:id="139" w:name="_Ref467379536"/>
      <w:bookmarkStart w:id="140" w:name="_Toc487900354"/>
      <w:bookmarkStart w:id="141" w:name="_Ref467379542"/>
      <w:bookmarkStart w:id="142" w:name="_Toc19074"/>
      <w:bookmarkStart w:id="143" w:name="_Toc26182"/>
      <w:bookmarkStart w:id="144" w:name="_Toc30272"/>
      <w:r>
        <w:rPr>
          <w:rFonts w:hint="eastAsia" w:asciiTheme="minorEastAsia" w:hAnsiTheme="minorEastAsia" w:eastAsiaTheme="minorEastAsia"/>
          <w:b/>
          <w:bCs/>
          <w:color w:val="auto"/>
          <w:sz w:val="24"/>
          <w:highlight w:val="none"/>
          <w:lang w:val="zh-CN"/>
        </w:rPr>
        <w:t>2.</w:t>
      </w:r>
      <w:bookmarkEnd w:id="134"/>
      <w:bookmarkEnd w:id="135"/>
      <w:bookmarkEnd w:id="136"/>
      <w:bookmarkEnd w:id="137"/>
      <w:bookmarkEnd w:id="138"/>
      <w:bookmarkEnd w:id="139"/>
      <w:bookmarkEnd w:id="140"/>
      <w:bookmarkEnd w:id="141"/>
      <w:r>
        <w:rPr>
          <w:rFonts w:hint="eastAsia" w:asciiTheme="minorEastAsia" w:hAnsiTheme="minorEastAsia" w:eastAsiaTheme="minorEastAsia"/>
          <w:b/>
          <w:bCs/>
          <w:color w:val="auto"/>
          <w:sz w:val="24"/>
          <w:highlight w:val="none"/>
          <w:lang w:val="zh-CN"/>
        </w:rPr>
        <w:t>5</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履约检查和问题反馈</w:t>
      </w:r>
      <w:bookmarkEnd w:id="142"/>
      <w:bookmarkEnd w:id="143"/>
      <w:bookmarkEnd w:id="144"/>
    </w:p>
    <w:p w14:paraId="4178D29A">
      <w:pPr>
        <w:spacing w:line="360" w:lineRule="auto"/>
        <w:ind w:firstLine="435"/>
        <w:rPr>
          <w:rFonts w:hint="eastAsia" w:asciiTheme="minorEastAsia" w:hAnsiTheme="minorEastAsia" w:eastAsiaTheme="minorEastAsia"/>
          <w:color w:val="auto"/>
          <w:sz w:val="24"/>
          <w:highlight w:val="none"/>
        </w:rPr>
      </w:pPr>
      <w:bookmarkStart w:id="145" w:name="_Ref467379657"/>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bookmarkEnd w:id="145"/>
      <w:bookmarkStart w:id="146" w:name="_Toc186431854"/>
      <w:bookmarkStart w:id="147" w:name="_Toc487900357"/>
      <w:bookmarkStart w:id="148" w:name="_Ref467379793"/>
      <w:bookmarkStart w:id="149" w:name="_Toc279701247"/>
      <w:bookmarkStart w:id="150" w:name="_Toc259093676"/>
      <w:bookmarkStart w:id="151" w:name="_Ref467379807"/>
      <w:r>
        <w:rPr>
          <w:rFonts w:asciiTheme="minorEastAsia" w:hAnsiTheme="minorEastAsia" w:eastAsiaTheme="minorEastAsia"/>
          <w:color w:val="auto"/>
          <w:sz w:val="24"/>
          <w:highlight w:val="none"/>
        </w:rPr>
        <w:t>甲方</w:t>
      </w:r>
      <w:r>
        <w:rPr>
          <w:rFonts w:hint="eastAsia" w:asciiTheme="minorEastAsia" w:hAnsiTheme="minorEastAsia" w:eastAsiaTheme="minorEastAsia"/>
          <w:color w:val="auto"/>
          <w:sz w:val="24"/>
          <w:highlight w:val="none"/>
        </w:rPr>
        <w:t>有权</w:t>
      </w:r>
      <w:r>
        <w:rPr>
          <w:rFonts w:asciiTheme="minorEastAsia" w:hAnsiTheme="minorEastAsia" w:eastAsiaTheme="minorEastAsia"/>
          <w:color w:val="auto"/>
          <w:sz w:val="24"/>
          <w:highlight w:val="none"/>
        </w:rPr>
        <w:t>在其认为必要时</w:t>
      </w:r>
      <w:r>
        <w:rPr>
          <w:rFonts w:hint="eastAsia" w:asciiTheme="minorEastAsia" w:hAnsiTheme="minorEastAsia" w:eastAsiaTheme="minorEastAsia"/>
          <w:color w:val="auto"/>
          <w:sz w:val="24"/>
          <w:highlight w:val="none"/>
        </w:rPr>
        <w:t>，对乙方是否能够按照合同约定交付货物进行履约检查，以确保乙方所交付的货物能够依约满足甲方项目需求，但不得因履约检查妨碍乙方的正常工作，乙方应予积极配合；</w:t>
      </w:r>
    </w:p>
    <w:p w14:paraId="6001920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2.5.2合同履行期间，甲方有权将履行过程中出现的问题反馈给乙方，双方当事人应以书面形式约定需要完善和改进的内容</w:t>
      </w:r>
      <w:bookmarkEnd w:id="146"/>
      <w:bookmarkStart w:id="152" w:name="_Toc186431855"/>
      <w:r>
        <w:rPr>
          <w:rFonts w:hint="eastAsia" w:asciiTheme="minorEastAsia" w:hAnsiTheme="minorEastAsia" w:eastAsiaTheme="minorEastAsia"/>
          <w:color w:val="auto"/>
          <w:sz w:val="24"/>
          <w:highlight w:val="none"/>
        </w:rPr>
        <w:t>。</w:t>
      </w:r>
    </w:p>
    <w:bookmarkEnd w:id="152"/>
    <w:p w14:paraId="26791297">
      <w:pPr>
        <w:spacing w:line="360" w:lineRule="auto"/>
        <w:ind w:firstLine="437"/>
        <w:outlineLvl w:val="2"/>
        <w:rPr>
          <w:rFonts w:hint="eastAsia" w:asciiTheme="minorEastAsia" w:hAnsiTheme="minorEastAsia" w:eastAsiaTheme="minorEastAsia"/>
          <w:b/>
          <w:bCs/>
          <w:color w:val="auto"/>
          <w:sz w:val="24"/>
          <w:highlight w:val="none"/>
          <w:lang w:val="zh-CN"/>
        </w:rPr>
      </w:pPr>
      <w:bookmarkStart w:id="153" w:name="_Toc7836"/>
      <w:bookmarkStart w:id="154" w:name="_Toc28451"/>
      <w:bookmarkStart w:id="155" w:name="_Toc19219"/>
      <w:r>
        <w:rPr>
          <w:rFonts w:hint="eastAsia" w:asciiTheme="minorEastAsia" w:hAnsiTheme="minorEastAsia" w:eastAsiaTheme="minorEastAsia"/>
          <w:b/>
          <w:bCs/>
          <w:color w:val="auto"/>
          <w:sz w:val="24"/>
          <w:highlight w:val="none"/>
          <w:lang w:val="zh-CN"/>
        </w:rPr>
        <w:t xml:space="preserve">2.6 </w:t>
      </w:r>
      <w:r>
        <w:rPr>
          <w:rFonts w:asciiTheme="minorEastAsia" w:hAnsiTheme="minorEastAsia" w:eastAsiaTheme="minorEastAsia"/>
          <w:b/>
          <w:bCs/>
          <w:color w:val="auto"/>
          <w:sz w:val="24"/>
          <w:highlight w:val="none"/>
          <w:lang w:val="zh-CN"/>
        </w:rPr>
        <w:t>结算方式和付款条件</w:t>
      </w:r>
      <w:bookmarkEnd w:id="147"/>
      <w:bookmarkEnd w:id="148"/>
      <w:bookmarkEnd w:id="149"/>
      <w:bookmarkEnd w:id="150"/>
      <w:bookmarkEnd w:id="151"/>
      <w:bookmarkEnd w:id="153"/>
      <w:bookmarkEnd w:id="154"/>
      <w:bookmarkEnd w:id="155"/>
    </w:p>
    <w:p w14:paraId="000FE83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详见</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w:t>
      </w:r>
    </w:p>
    <w:p w14:paraId="75AD8B2A">
      <w:pPr>
        <w:spacing w:line="360" w:lineRule="auto"/>
        <w:ind w:firstLine="437"/>
        <w:outlineLvl w:val="2"/>
        <w:rPr>
          <w:rFonts w:hint="eastAsia" w:asciiTheme="minorEastAsia" w:hAnsiTheme="minorEastAsia" w:eastAsiaTheme="minorEastAsia"/>
          <w:b/>
          <w:bCs/>
          <w:color w:val="auto"/>
          <w:sz w:val="24"/>
          <w:highlight w:val="none"/>
          <w:lang w:val="zh-CN"/>
        </w:rPr>
      </w:pPr>
      <w:bookmarkStart w:id="156" w:name="_Ref467379852"/>
      <w:bookmarkStart w:id="157" w:name="_Toc279701248"/>
      <w:bookmarkStart w:id="158" w:name="_Ref467379863"/>
      <w:bookmarkStart w:id="159" w:name="_Ref467379923"/>
      <w:bookmarkStart w:id="160" w:name="_Toc259093677"/>
      <w:bookmarkStart w:id="161" w:name="_Toc487900358"/>
      <w:bookmarkStart w:id="162" w:name="_Toc3225"/>
      <w:bookmarkStart w:id="163" w:name="_Toc774"/>
      <w:bookmarkStart w:id="164" w:name="_Toc16110"/>
      <w:r>
        <w:rPr>
          <w:rFonts w:hint="eastAsia" w:asciiTheme="minorEastAsia" w:hAnsiTheme="minorEastAsia" w:eastAsiaTheme="minorEastAsia"/>
          <w:b/>
          <w:bCs/>
          <w:color w:val="auto"/>
          <w:sz w:val="24"/>
          <w:highlight w:val="none"/>
          <w:lang w:val="zh-CN"/>
        </w:rPr>
        <w:t xml:space="preserve">2.7 </w:t>
      </w:r>
      <w:r>
        <w:rPr>
          <w:rFonts w:asciiTheme="minorEastAsia" w:hAnsiTheme="minorEastAsia" w:eastAsiaTheme="minorEastAsia"/>
          <w:b/>
          <w:bCs/>
          <w:color w:val="auto"/>
          <w:sz w:val="24"/>
          <w:highlight w:val="none"/>
          <w:lang w:val="zh-CN"/>
        </w:rPr>
        <w:t>技术资料</w:t>
      </w:r>
      <w:bookmarkEnd w:id="156"/>
      <w:bookmarkEnd w:id="157"/>
      <w:bookmarkEnd w:id="158"/>
      <w:bookmarkEnd w:id="159"/>
      <w:bookmarkEnd w:id="160"/>
      <w:bookmarkEnd w:id="161"/>
      <w:r>
        <w:rPr>
          <w:rFonts w:asciiTheme="minorEastAsia" w:hAnsiTheme="minorEastAsia" w:eastAsiaTheme="minorEastAsia"/>
          <w:b/>
          <w:bCs/>
          <w:color w:val="auto"/>
          <w:sz w:val="24"/>
          <w:highlight w:val="none"/>
          <w:lang w:val="zh-CN"/>
        </w:rPr>
        <w:t>和保密义务</w:t>
      </w:r>
      <w:bookmarkEnd w:id="162"/>
      <w:bookmarkEnd w:id="163"/>
      <w:bookmarkEnd w:id="164"/>
    </w:p>
    <w:p w14:paraId="0D0E1C5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乙方有权依据合同约定和项目需要，向甲方了解有关情况，调阅有关资料等，甲方应予积极配合；</w:t>
      </w:r>
    </w:p>
    <w:p w14:paraId="1CE4E49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2.7.2乙方有义务妥善保管和保护由甲方提供的前款信息和资料等；</w:t>
      </w:r>
    </w:p>
    <w:p w14:paraId="7B3BD1E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Theme="minorEastAsia" w:hAnsiTheme="minorEastAsia" w:eastAsiaTheme="minorEastAsia"/>
          <w:color w:val="auto"/>
          <w:sz w:val="24"/>
          <w:highlight w:val="none"/>
        </w:rPr>
        <w:t>技术情报</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技术资料</w:t>
      </w:r>
      <w:r>
        <w:rPr>
          <w:rFonts w:hint="eastAsia" w:asciiTheme="minorEastAsia" w:hAnsiTheme="minorEastAsia" w:eastAsiaTheme="minorEastAsia"/>
          <w:color w:val="auto"/>
          <w:sz w:val="24"/>
          <w:highlight w:val="none"/>
        </w:rPr>
        <w:t>、商业秘密和商业信息等，并采取一切合理和必要措施和方式防止任何第三方接触到对方当事人的上述保密信息和资料。</w:t>
      </w:r>
    </w:p>
    <w:p w14:paraId="5CBA4580">
      <w:pPr>
        <w:spacing w:line="360" w:lineRule="auto"/>
        <w:ind w:firstLine="437"/>
        <w:outlineLvl w:val="2"/>
        <w:rPr>
          <w:rFonts w:hint="eastAsia" w:asciiTheme="minorEastAsia" w:hAnsiTheme="minorEastAsia" w:eastAsiaTheme="minorEastAsia"/>
          <w:b/>
          <w:bCs/>
          <w:color w:val="auto"/>
          <w:sz w:val="24"/>
          <w:highlight w:val="none"/>
          <w:lang w:val="zh-CN"/>
        </w:rPr>
      </w:pPr>
      <w:bookmarkStart w:id="165" w:name="_Toc7860"/>
      <w:r>
        <w:rPr>
          <w:rFonts w:asciiTheme="minorEastAsia" w:hAnsiTheme="minorEastAsia" w:eastAsiaTheme="minorEastAsia"/>
          <w:b/>
          <w:bCs/>
          <w:color w:val="auto"/>
          <w:sz w:val="24"/>
          <w:highlight w:val="none"/>
          <w:lang w:val="zh-CN"/>
        </w:rPr>
        <w:t>2.8 质量保证</w:t>
      </w:r>
      <w:bookmarkEnd w:id="165"/>
    </w:p>
    <w:p w14:paraId="753E4C1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2.8.1乙方应建立和完善履行合同的内部质量保证体系，并提供相关内部规章制度给甲方，以便甲方进行监督检查；</w:t>
      </w:r>
    </w:p>
    <w:p w14:paraId="601C4B3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2.8.2乙方应保证履行合同的人员数量和素质、软件和硬件设备的配置、场地、环境和设施等满足全面履行合同的要求，并应接受甲方的监督检查。</w:t>
      </w:r>
    </w:p>
    <w:p w14:paraId="4E7AB731">
      <w:pPr>
        <w:spacing w:line="360" w:lineRule="auto"/>
        <w:ind w:firstLine="437"/>
        <w:outlineLvl w:val="2"/>
        <w:rPr>
          <w:rFonts w:hint="eastAsia" w:asciiTheme="minorEastAsia" w:hAnsiTheme="minorEastAsia" w:eastAsiaTheme="minorEastAsia"/>
          <w:b/>
          <w:bCs/>
          <w:color w:val="auto"/>
          <w:sz w:val="24"/>
          <w:highlight w:val="none"/>
          <w:lang w:val="zh-CN"/>
        </w:rPr>
      </w:pPr>
      <w:bookmarkStart w:id="166" w:name="_Toc17244"/>
      <w:bookmarkStart w:id="167" w:name="_Toc259093681"/>
      <w:bookmarkStart w:id="168" w:name="_Toc487900362"/>
      <w:bookmarkStart w:id="169" w:name="_Toc279701252"/>
      <w:r>
        <w:rPr>
          <w:rFonts w:asciiTheme="minorEastAsia" w:hAnsiTheme="minorEastAsia" w:eastAsiaTheme="minorEastAsia"/>
          <w:b/>
          <w:bCs/>
          <w:color w:val="auto"/>
          <w:sz w:val="24"/>
          <w:highlight w:val="none"/>
          <w:lang w:val="zh-CN"/>
        </w:rPr>
        <w:t>2.9 货物的风险负担</w:t>
      </w:r>
      <w:bookmarkEnd w:id="166"/>
    </w:p>
    <w:p w14:paraId="7A6B8E45">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货物或者在途货物或者交付给第一承运人后的货物毁损、灭失的风险负担</w:t>
      </w:r>
      <w:r>
        <w:rPr>
          <w:rFonts w:asciiTheme="minorEastAsia" w:hAnsiTheme="minorEastAsia" w:eastAsiaTheme="minorEastAsia"/>
          <w:color w:val="auto"/>
          <w:sz w:val="24"/>
          <w:highlight w:val="none"/>
        </w:rPr>
        <w:t>详见</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w:t>
      </w:r>
    </w:p>
    <w:p w14:paraId="4C4EE633">
      <w:pPr>
        <w:spacing w:line="360" w:lineRule="auto"/>
        <w:ind w:firstLine="437"/>
        <w:outlineLvl w:val="2"/>
        <w:rPr>
          <w:rFonts w:hint="eastAsia" w:asciiTheme="minorEastAsia" w:hAnsiTheme="minorEastAsia" w:eastAsiaTheme="minorEastAsia"/>
          <w:b/>
          <w:bCs/>
          <w:color w:val="auto"/>
          <w:sz w:val="24"/>
          <w:highlight w:val="none"/>
          <w:lang w:val="zh-CN"/>
        </w:rPr>
      </w:pPr>
      <w:bookmarkStart w:id="170" w:name="_Toc14055"/>
      <w:r>
        <w:rPr>
          <w:rFonts w:asciiTheme="minorEastAsia" w:hAnsiTheme="minorEastAsia" w:eastAsiaTheme="minorEastAsia"/>
          <w:b/>
          <w:bCs/>
          <w:color w:val="auto"/>
          <w:sz w:val="24"/>
          <w:highlight w:val="none"/>
          <w:lang w:val="zh-CN"/>
        </w:rPr>
        <w:t>2.10 延迟交货</w:t>
      </w:r>
      <w:bookmarkEnd w:id="167"/>
      <w:bookmarkEnd w:id="168"/>
      <w:bookmarkEnd w:id="169"/>
      <w:bookmarkEnd w:id="170"/>
    </w:p>
    <w:p w14:paraId="7488DC55">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在合同履行过程中，如果乙方遇到不能按时交付货物的情况，应及时以书面形式将不能按时</w:t>
      </w:r>
      <w:r>
        <w:rPr>
          <w:rFonts w:hint="eastAsia" w:asciiTheme="minorEastAsia" w:hAnsiTheme="minorEastAsia" w:eastAsiaTheme="minorEastAsia"/>
          <w:color w:val="auto"/>
          <w:sz w:val="24"/>
          <w:highlight w:val="none"/>
        </w:rPr>
        <w:t>交付货物</w:t>
      </w:r>
      <w:r>
        <w:rPr>
          <w:rFonts w:asciiTheme="minorEastAsia" w:hAnsiTheme="minorEastAsia" w:eastAsiaTheme="minorEastAsia"/>
          <w:color w:val="auto"/>
          <w:sz w:val="24"/>
          <w:highlight w:val="none"/>
        </w:rPr>
        <w:t>的理由、预期延误时间通知甲方</w:t>
      </w:r>
      <w:r>
        <w:rPr>
          <w:rFonts w:hint="eastAsia" w:asciiTheme="minorEastAsia" w:hAnsiTheme="minorEastAsia" w:eastAsiaTheme="minorEastAsia"/>
          <w:color w:val="auto"/>
          <w:sz w:val="24"/>
          <w:highlight w:val="none"/>
        </w:rPr>
        <w:t>；甲</w:t>
      </w:r>
      <w:r>
        <w:rPr>
          <w:rFonts w:asciiTheme="minorEastAsia" w:hAnsiTheme="minorEastAsia" w:eastAsiaTheme="minorEastAsia"/>
          <w:color w:val="auto"/>
          <w:sz w:val="24"/>
          <w:highlight w:val="none"/>
        </w:rPr>
        <w:t>方收到乙方通知后，认为其理由正当的，可以书面形式酌情同意乙方可以延长交货的具体时间。</w:t>
      </w:r>
    </w:p>
    <w:p w14:paraId="6C2CAAC5">
      <w:pPr>
        <w:spacing w:line="360" w:lineRule="auto"/>
        <w:ind w:firstLine="437"/>
        <w:outlineLvl w:val="2"/>
        <w:rPr>
          <w:rFonts w:hint="eastAsia" w:asciiTheme="minorEastAsia" w:hAnsiTheme="minorEastAsia" w:eastAsiaTheme="minorEastAsia"/>
          <w:b/>
          <w:bCs/>
          <w:color w:val="auto"/>
          <w:sz w:val="24"/>
          <w:highlight w:val="none"/>
          <w:lang w:val="zh-CN"/>
        </w:rPr>
      </w:pPr>
      <w:bookmarkStart w:id="171" w:name="_Toc7502"/>
      <w:bookmarkStart w:id="172" w:name="_Toc259093683"/>
      <w:bookmarkStart w:id="173" w:name="_Toc487900364"/>
      <w:bookmarkStart w:id="174" w:name="_Ref467378121"/>
      <w:bookmarkStart w:id="175" w:name="_Toc279701254"/>
      <w:r>
        <w:rPr>
          <w:rFonts w:asciiTheme="minorEastAsia" w:hAnsiTheme="minorEastAsia" w:eastAsiaTheme="minorEastAsia"/>
          <w:b/>
          <w:bCs/>
          <w:color w:val="auto"/>
          <w:sz w:val="24"/>
          <w:highlight w:val="none"/>
          <w:lang w:val="zh-CN"/>
        </w:rPr>
        <w:t>2.11 合同变更</w:t>
      </w:r>
      <w:bookmarkEnd w:id="171"/>
    </w:p>
    <w:p w14:paraId="6206DB0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2.11.1双方当事人协商一致，可以签订书面补充合同的形式变更合同，但不得违背采购文件确定的事项；</w:t>
      </w:r>
    </w:p>
    <w:p w14:paraId="02A4A0E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2.11.2合同继续履行将损害国家利益和社会公共利益的，双方当事人应当以书面形式变更合同。有过错的一方应当承担赔偿责任，双方当事人都有过错的，各自承担相应的责任。</w:t>
      </w:r>
      <w:bookmarkStart w:id="176" w:name="_Toc487900369"/>
      <w:bookmarkStart w:id="177" w:name="_Toc279701259"/>
      <w:bookmarkStart w:id="178" w:name="_Toc259093688"/>
    </w:p>
    <w:p w14:paraId="04CE450B">
      <w:pPr>
        <w:spacing w:line="360" w:lineRule="auto"/>
        <w:ind w:firstLine="437"/>
        <w:outlineLvl w:val="2"/>
        <w:rPr>
          <w:rFonts w:hint="eastAsia" w:asciiTheme="minorEastAsia" w:hAnsiTheme="minorEastAsia" w:eastAsiaTheme="minorEastAsia"/>
          <w:b/>
          <w:bCs/>
          <w:color w:val="auto"/>
          <w:sz w:val="24"/>
          <w:highlight w:val="none"/>
          <w:lang w:val="zh-CN"/>
        </w:rPr>
      </w:pPr>
      <w:bookmarkStart w:id="179" w:name="_Toc15237"/>
      <w:bookmarkStart w:id="180" w:name="_Toc10366"/>
      <w:bookmarkStart w:id="181" w:name="_Toc22955"/>
      <w:r>
        <w:rPr>
          <w:rFonts w:hint="eastAsia" w:asciiTheme="minorEastAsia" w:hAnsiTheme="minorEastAsia" w:eastAsiaTheme="minorEastAsia"/>
          <w:b/>
          <w:bCs/>
          <w:color w:val="auto"/>
          <w:sz w:val="24"/>
          <w:highlight w:val="none"/>
          <w:lang w:val="zh-CN"/>
        </w:rPr>
        <w:t xml:space="preserve">2.12 </w:t>
      </w:r>
      <w:r>
        <w:rPr>
          <w:rFonts w:asciiTheme="minorEastAsia" w:hAnsiTheme="minorEastAsia" w:eastAsiaTheme="minorEastAsia"/>
          <w:b/>
          <w:bCs/>
          <w:color w:val="auto"/>
          <w:sz w:val="24"/>
          <w:highlight w:val="none"/>
          <w:lang w:val="zh-CN"/>
        </w:rPr>
        <w:t>合同转让</w:t>
      </w:r>
      <w:bookmarkEnd w:id="176"/>
      <w:bookmarkEnd w:id="177"/>
      <w:bookmarkEnd w:id="178"/>
      <w:r>
        <w:rPr>
          <w:rFonts w:asciiTheme="minorEastAsia" w:hAnsiTheme="minorEastAsia" w:eastAsiaTheme="minorEastAsia"/>
          <w:b/>
          <w:bCs/>
          <w:color w:val="auto"/>
          <w:sz w:val="24"/>
          <w:highlight w:val="none"/>
          <w:lang w:val="zh-CN"/>
        </w:rPr>
        <w:t>和分包</w:t>
      </w:r>
      <w:bookmarkEnd w:id="179"/>
      <w:bookmarkEnd w:id="180"/>
      <w:bookmarkEnd w:id="181"/>
    </w:p>
    <w:p w14:paraId="0B0AAB4F">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合同的权利义务依法不</w:t>
      </w:r>
      <w:r>
        <w:rPr>
          <w:rFonts w:hint="eastAsia" w:asciiTheme="minorEastAsia" w:hAnsiTheme="minorEastAsia" w:eastAsiaTheme="minorEastAsia"/>
          <w:color w:val="auto"/>
          <w:sz w:val="24"/>
          <w:highlight w:val="none"/>
        </w:rPr>
        <w:t>得</w:t>
      </w:r>
      <w:r>
        <w:rPr>
          <w:rFonts w:asciiTheme="minorEastAsia" w:hAnsiTheme="minorEastAsia" w:eastAsiaTheme="minorEastAsia"/>
          <w:color w:val="auto"/>
          <w:sz w:val="24"/>
          <w:highlight w:val="none"/>
        </w:rPr>
        <w:t>转让</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但经甲方</w:t>
      </w:r>
      <w:r>
        <w:rPr>
          <w:rFonts w:hint="eastAsia" w:asciiTheme="minorEastAsia" w:hAnsiTheme="minorEastAsia" w:eastAsiaTheme="minorEastAsia"/>
          <w:color w:val="auto"/>
          <w:sz w:val="24"/>
          <w:highlight w:val="none"/>
        </w:rPr>
        <w:t>同意，乙方可以依法采取分包方式履行合同，即：依法可以</w:t>
      </w:r>
      <w:r>
        <w:rPr>
          <w:rFonts w:asciiTheme="minorEastAsia" w:hAnsiTheme="minorEastAsia" w:eastAsiaTheme="minorEastAsia"/>
          <w:color w:val="auto"/>
          <w:sz w:val="24"/>
          <w:highlight w:val="none"/>
        </w:rPr>
        <w:t>将合同项下的部分非主体、非关键性工作分包给他人完成</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接受分包的人应当具备相应的资格条件，并不得再次分包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且乙方应就分包项目向甲方负责</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并</w:t>
      </w:r>
      <w:r>
        <w:rPr>
          <w:rFonts w:hint="eastAsia" w:asciiTheme="minorEastAsia" w:hAnsiTheme="minorEastAsia" w:eastAsiaTheme="minorEastAsia"/>
          <w:color w:val="auto"/>
          <w:sz w:val="24"/>
          <w:highlight w:val="none"/>
        </w:rPr>
        <w:t>与分包供应商就分包项目向甲方承担连带责任。</w:t>
      </w:r>
    </w:p>
    <w:p w14:paraId="67D28A3F">
      <w:pPr>
        <w:spacing w:line="360" w:lineRule="auto"/>
        <w:ind w:firstLine="437"/>
        <w:outlineLvl w:val="2"/>
        <w:rPr>
          <w:rFonts w:hint="eastAsia" w:asciiTheme="minorEastAsia" w:hAnsiTheme="minorEastAsia" w:eastAsiaTheme="minorEastAsia"/>
          <w:b/>
          <w:bCs/>
          <w:color w:val="auto"/>
          <w:sz w:val="24"/>
          <w:highlight w:val="none"/>
          <w:lang w:val="zh-CN"/>
        </w:rPr>
      </w:pPr>
      <w:bookmarkStart w:id="182" w:name="_Toc14066"/>
      <w:bookmarkStart w:id="183" w:name="_Toc13566"/>
      <w:bookmarkStart w:id="184" w:name="_Toc16508"/>
      <w:r>
        <w:rPr>
          <w:rFonts w:hint="eastAsia" w:asciiTheme="minorEastAsia" w:hAnsiTheme="minorEastAsia" w:eastAsiaTheme="minorEastAsia"/>
          <w:b/>
          <w:bCs/>
          <w:color w:val="auto"/>
          <w:sz w:val="24"/>
          <w:highlight w:val="none"/>
          <w:lang w:val="zh-CN"/>
        </w:rPr>
        <w:t>2.13</w:t>
      </w:r>
      <w:r>
        <w:rPr>
          <w:rFonts w:asciiTheme="minorEastAsia" w:hAnsiTheme="minorEastAsia" w:eastAsiaTheme="minorEastAsia"/>
          <w:b/>
          <w:bCs/>
          <w:color w:val="auto"/>
          <w:sz w:val="24"/>
          <w:highlight w:val="none"/>
          <w:lang w:val="zh-CN"/>
        </w:rPr>
        <w:t xml:space="preserve"> 不可抗力</w:t>
      </w:r>
      <w:bookmarkEnd w:id="182"/>
      <w:bookmarkEnd w:id="183"/>
      <w:bookmarkEnd w:id="184"/>
    </w:p>
    <w:p w14:paraId="49080A4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w:t>
      </w:r>
      <w:r>
        <w:rPr>
          <w:rFonts w:asciiTheme="minorEastAsia" w:hAnsiTheme="minorEastAsia" w:eastAsiaTheme="minorEastAsia"/>
          <w:color w:val="auto"/>
          <w:sz w:val="24"/>
          <w:highlight w:val="none"/>
        </w:rPr>
        <w:t>.1如果任何一方遭遇法律规定的不可抗力，致使合同履行受阻时，履行合同的期限应予延长，延长的期限应相当于不可抗力所影响的时间</w:t>
      </w:r>
      <w:r>
        <w:rPr>
          <w:rFonts w:hint="eastAsia" w:asciiTheme="minorEastAsia" w:hAnsiTheme="minorEastAsia" w:eastAsiaTheme="minorEastAsia"/>
          <w:color w:val="auto"/>
          <w:sz w:val="24"/>
          <w:highlight w:val="none"/>
        </w:rPr>
        <w:t>；</w:t>
      </w:r>
    </w:p>
    <w:p w14:paraId="76F8BF9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2.13.2因不可抗力致使不能实现合同目的的，当事人可以解除合同；</w:t>
      </w:r>
    </w:p>
    <w:p w14:paraId="2F68003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2.13.3因</w:t>
      </w:r>
      <w:r>
        <w:rPr>
          <w:rFonts w:asciiTheme="minorEastAsia" w:hAnsiTheme="minorEastAsia" w:eastAsiaTheme="minorEastAsia"/>
          <w:color w:val="auto"/>
          <w:sz w:val="24"/>
          <w:highlight w:val="none"/>
        </w:rPr>
        <w:t>不可抗力致使合同有变更必要的，双方当事人应在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约定时间内以书面形式变更合同</w:t>
      </w:r>
      <w:r>
        <w:rPr>
          <w:rFonts w:hint="eastAsia" w:asciiTheme="minorEastAsia" w:hAnsiTheme="minorEastAsia" w:eastAsiaTheme="minorEastAsia"/>
          <w:color w:val="auto"/>
          <w:sz w:val="24"/>
          <w:highlight w:val="none"/>
        </w:rPr>
        <w:t>；</w:t>
      </w:r>
    </w:p>
    <w:p w14:paraId="2643068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受</w:t>
      </w:r>
      <w:r>
        <w:rPr>
          <w:rFonts w:hint="eastAsia" w:asciiTheme="minorEastAsia" w:hAnsiTheme="minorEastAsia" w:eastAsiaTheme="minorEastAsia"/>
          <w:color w:val="auto"/>
          <w:sz w:val="24"/>
          <w:highlight w:val="none"/>
        </w:rPr>
        <w:t>不可抗力</w:t>
      </w:r>
      <w:r>
        <w:rPr>
          <w:rFonts w:asciiTheme="minorEastAsia" w:hAnsiTheme="minorEastAsia" w:eastAsiaTheme="minorEastAsia"/>
          <w:color w:val="auto"/>
          <w:sz w:val="24"/>
          <w:highlight w:val="none"/>
        </w:rPr>
        <w:t>影响的一方在不可抗力发生后</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应在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约定时间内以书面形式通知</w:t>
      </w:r>
      <w:r>
        <w:rPr>
          <w:rFonts w:hint="eastAsia" w:asciiTheme="minorEastAsia" w:hAnsiTheme="minorEastAsia" w:eastAsiaTheme="minorEastAsia"/>
          <w:color w:val="auto"/>
          <w:sz w:val="24"/>
          <w:highlight w:val="none"/>
        </w:rPr>
        <w:t>对</w:t>
      </w:r>
      <w:r>
        <w:rPr>
          <w:rFonts w:asciiTheme="minorEastAsia" w:hAnsiTheme="minorEastAsia" w:eastAsiaTheme="minorEastAsia"/>
          <w:color w:val="auto"/>
          <w:sz w:val="24"/>
          <w:highlight w:val="none"/>
        </w:rPr>
        <w:t>方当事人，并在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约定时间内，将有关部门出具的证明文件送达</w:t>
      </w:r>
      <w:r>
        <w:rPr>
          <w:rFonts w:hint="eastAsia" w:asciiTheme="minorEastAsia" w:hAnsiTheme="minorEastAsia" w:eastAsiaTheme="minorEastAsia"/>
          <w:color w:val="auto"/>
          <w:sz w:val="24"/>
          <w:highlight w:val="none"/>
        </w:rPr>
        <w:t>对方当事人</w:t>
      </w:r>
      <w:r>
        <w:rPr>
          <w:rFonts w:asciiTheme="minorEastAsia" w:hAnsiTheme="minorEastAsia" w:eastAsiaTheme="minorEastAsia"/>
          <w:color w:val="auto"/>
          <w:sz w:val="24"/>
          <w:highlight w:val="none"/>
        </w:rPr>
        <w:t>。</w:t>
      </w:r>
    </w:p>
    <w:p w14:paraId="2980EE75">
      <w:pPr>
        <w:spacing w:line="360" w:lineRule="auto"/>
        <w:ind w:firstLine="437"/>
        <w:outlineLvl w:val="2"/>
        <w:rPr>
          <w:rFonts w:hint="eastAsia" w:asciiTheme="minorEastAsia" w:hAnsiTheme="minorEastAsia" w:eastAsiaTheme="minorEastAsia"/>
          <w:b/>
          <w:bCs/>
          <w:color w:val="auto"/>
          <w:sz w:val="24"/>
          <w:highlight w:val="none"/>
          <w:lang w:val="zh-CN"/>
        </w:rPr>
      </w:pPr>
      <w:bookmarkStart w:id="185" w:name="_Toc487900365"/>
      <w:bookmarkStart w:id="186" w:name="_Toc259093684"/>
      <w:bookmarkStart w:id="187" w:name="_Toc279701255"/>
      <w:bookmarkStart w:id="188" w:name="_Toc30676"/>
      <w:bookmarkStart w:id="189" w:name="_Toc6969"/>
      <w:bookmarkStart w:id="190" w:name="_Toc689"/>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1</w:t>
      </w:r>
      <w:r>
        <w:rPr>
          <w:rFonts w:hint="eastAsia" w:asciiTheme="minorEastAsia" w:hAnsiTheme="minorEastAsia" w:eastAsiaTheme="minorEastAsia"/>
          <w:b/>
          <w:bCs/>
          <w:color w:val="auto"/>
          <w:sz w:val="24"/>
          <w:highlight w:val="none"/>
          <w:lang w:val="zh-CN"/>
        </w:rPr>
        <w:t xml:space="preserve">4 </w:t>
      </w:r>
      <w:r>
        <w:rPr>
          <w:rFonts w:asciiTheme="minorEastAsia" w:hAnsiTheme="minorEastAsia" w:eastAsiaTheme="minorEastAsia"/>
          <w:b/>
          <w:bCs/>
          <w:color w:val="auto"/>
          <w:sz w:val="24"/>
          <w:highlight w:val="none"/>
          <w:lang w:val="zh-CN"/>
        </w:rPr>
        <w:t>税费</w:t>
      </w:r>
      <w:bookmarkEnd w:id="185"/>
      <w:bookmarkEnd w:id="186"/>
      <w:bookmarkEnd w:id="187"/>
      <w:bookmarkEnd w:id="188"/>
      <w:bookmarkEnd w:id="189"/>
      <w:bookmarkEnd w:id="190"/>
    </w:p>
    <w:p w14:paraId="4118762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与合同有关的一切税费</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均按照中华人民共和国法律的相关规定</w:t>
      </w:r>
      <w:r>
        <w:rPr>
          <w:rFonts w:hint="eastAsia" w:asciiTheme="minorEastAsia" w:hAnsiTheme="minorEastAsia" w:eastAsiaTheme="minorEastAsia"/>
          <w:color w:val="auto"/>
          <w:sz w:val="24"/>
          <w:highlight w:val="none"/>
        </w:rPr>
        <w:t>缴纳</w:t>
      </w:r>
      <w:r>
        <w:rPr>
          <w:rFonts w:asciiTheme="minorEastAsia" w:hAnsiTheme="minorEastAsia" w:eastAsiaTheme="minorEastAsia"/>
          <w:color w:val="auto"/>
          <w:sz w:val="24"/>
          <w:highlight w:val="none"/>
        </w:rPr>
        <w:t>。</w:t>
      </w:r>
    </w:p>
    <w:p w14:paraId="350143FB">
      <w:pPr>
        <w:spacing w:line="360" w:lineRule="auto"/>
        <w:ind w:firstLine="437"/>
        <w:outlineLvl w:val="2"/>
        <w:rPr>
          <w:rFonts w:hint="eastAsia" w:asciiTheme="minorEastAsia" w:hAnsiTheme="minorEastAsia" w:eastAsiaTheme="minorEastAsia"/>
          <w:b/>
          <w:bCs/>
          <w:color w:val="auto"/>
          <w:sz w:val="24"/>
          <w:highlight w:val="none"/>
          <w:lang w:val="zh-CN"/>
        </w:rPr>
      </w:pPr>
      <w:bookmarkStart w:id="191" w:name="_Toc259093687"/>
      <w:bookmarkStart w:id="192" w:name="_Toc16959"/>
      <w:bookmarkStart w:id="193" w:name="_Toc7102"/>
      <w:bookmarkStart w:id="194" w:name="_Toc487900368"/>
      <w:bookmarkStart w:id="195" w:name="_Toc279701258"/>
      <w:bookmarkStart w:id="196" w:name="_Toc8298"/>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1</w:t>
      </w:r>
      <w:r>
        <w:rPr>
          <w:rFonts w:hint="eastAsia" w:asciiTheme="minorEastAsia" w:hAnsiTheme="minorEastAsia" w:eastAsiaTheme="minorEastAsia"/>
          <w:b/>
          <w:bCs/>
          <w:color w:val="auto"/>
          <w:sz w:val="24"/>
          <w:highlight w:val="none"/>
          <w:lang w:val="zh-CN"/>
        </w:rPr>
        <w:t xml:space="preserve">5 </w:t>
      </w:r>
      <w:r>
        <w:rPr>
          <w:rFonts w:asciiTheme="minorEastAsia" w:hAnsiTheme="minorEastAsia" w:eastAsiaTheme="minorEastAsia"/>
          <w:b/>
          <w:bCs/>
          <w:color w:val="auto"/>
          <w:sz w:val="24"/>
          <w:highlight w:val="none"/>
          <w:lang w:val="zh-CN"/>
        </w:rPr>
        <w:t>乙方破产</w:t>
      </w:r>
      <w:bookmarkEnd w:id="191"/>
      <w:bookmarkEnd w:id="192"/>
      <w:bookmarkEnd w:id="193"/>
      <w:bookmarkEnd w:id="194"/>
      <w:bookmarkEnd w:id="195"/>
      <w:bookmarkEnd w:id="196"/>
    </w:p>
    <w:p w14:paraId="7BE199F8">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如果乙方破产导致合同无法履行时，甲方可以书面形式通知乙方终止合同且不给予乙方任何补偿和赔偿</w:t>
      </w:r>
      <w:r>
        <w:rPr>
          <w:rFonts w:hint="eastAsia" w:asciiTheme="minorEastAsia" w:hAnsiTheme="minorEastAsia" w:eastAsiaTheme="minorEastAsia"/>
          <w:color w:val="auto"/>
          <w:sz w:val="24"/>
          <w:highlight w:val="none"/>
        </w:rPr>
        <w:t>，但合同的</w:t>
      </w:r>
      <w:r>
        <w:rPr>
          <w:rFonts w:asciiTheme="minorEastAsia" w:hAnsiTheme="minorEastAsia" w:eastAsiaTheme="minorEastAsia"/>
          <w:color w:val="auto"/>
          <w:sz w:val="24"/>
          <w:highlight w:val="none"/>
        </w:rPr>
        <w:t>终止不损害或不影响甲方已经采取或将要采取的任何要求乙方支付违约金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赔偿损失等的行动或补救措施的权利</w:t>
      </w:r>
      <w:r>
        <w:rPr>
          <w:rFonts w:hint="eastAsia" w:asciiTheme="minorEastAsia" w:hAnsiTheme="minorEastAsia" w:eastAsiaTheme="minorEastAsia"/>
          <w:color w:val="auto"/>
          <w:sz w:val="24"/>
          <w:highlight w:val="none"/>
        </w:rPr>
        <w:t>。</w:t>
      </w:r>
    </w:p>
    <w:p w14:paraId="4343B1BF">
      <w:pPr>
        <w:spacing w:line="360" w:lineRule="auto"/>
        <w:ind w:firstLine="437"/>
        <w:outlineLvl w:val="2"/>
        <w:rPr>
          <w:rFonts w:hint="eastAsia" w:asciiTheme="minorEastAsia" w:hAnsiTheme="minorEastAsia" w:eastAsiaTheme="minorEastAsia"/>
          <w:b/>
          <w:color w:val="auto"/>
          <w:sz w:val="24"/>
          <w:highlight w:val="none"/>
        </w:rPr>
      </w:pPr>
      <w:bookmarkStart w:id="197" w:name="_Toc15387"/>
      <w:bookmarkStart w:id="198" w:name="_Toc6134"/>
      <w:bookmarkStart w:id="199" w:name="_Toc29333"/>
      <w:r>
        <w:rPr>
          <w:rFonts w:hint="eastAsia" w:asciiTheme="minorEastAsia" w:hAnsiTheme="minorEastAsia" w:eastAsiaTheme="minorEastAsia"/>
          <w:b/>
          <w:bCs/>
          <w:color w:val="auto"/>
          <w:sz w:val="24"/>
          <w:highlight w:val="none"/>
          <w:lang w:val="zh-CN"/>
        </w:rPr>
        <w:t>2.16 合同中止、终止</w:t>
      </w:r>
      <w:bookmarkEnd w:id="197"/>
      <w:bookmarkEnd w:id="198"/>
      <w:bookmarkEnd w:id="199"/>
    </w:p>
    <w:p w14:paraId="70D4603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2.16.1双方当事人不得擅自中止或者终止合同；</w:t>
      </w:r>
    </w:p>
    <w:p w14:paraId="6D7782D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146F5DFE">
      <w:pPr>
        <w:spacing w:line="360" w:lineRule="auto"/>
        <w:ind w:firstLine="437"/>
        <w:outlineLvl w:val="2"/>
        <w:rPr>
          <w:rFonts w:hint="eastAsia" w:asciiTheme="minorEastAsia" w:hAnsiTheme="minorEastAsia" w:eastAsiaTheme="minorEastAsia"/>
          <w:b/>
          <w:bCs/>
          <w:color w:val="auto"/>
          <w:sz w:val="24"/>
          <w:highlight w:val="none"/>
          <w:lang w:val="zh-CN"/>
        </w:rPr>
      </w:pPr>
      <w:bookmarkStart w:id="200" w:name="_Toc6596"/>
      <w:bookmarkStart w:id="201" w:name="_Toc1125"/>
      <w:bookmarkStart w:id="202" w:name="_Toc14563"/>
      <w:r>
        <w:rPr>
          <w:rFonts w:hint="eastAsia" w:asciiTheme="minorEastAsia" w:hAnsiTheme="minorEastAsia" w:eastAsiaTheme="minorEastAsia"/>
          <w:b/>
          <w:bCs/>
          <w:color w:val="auto"/>
          <w:sz w:val="24"/>
          <w:highlight w:val="none"/>
          <w:lang w:val="zh-CN"/>
        </w:rPr>
        <w:t>2.17 检验和验收</w:t>
      </w:r>
      <w:bookmarkEnd w:id="200"/>
      <w:bookmarkEnd w:id="201"/>
      <w:bookmarkEnd w:id="202"/>
    </w:p>
    <w:p w14:paraId="2315EE1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1货物交付前，乙方应对货物的质量、数量等方面进行详细、全面的检验，并向甲方出具证明货物符合合同约定的文件；货物交付时，乙方在</w:t>
      </w:r>
      <w:r>
        <w:rPr>
          <w:rFonts w:hint="eastAsia"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color w:val="auto"/>
          <w:sz w:val="24"/>
          <w:highlight w:val="none"/>
        </w:rPr>
        <w:t>约定时间内组织验收，并可依法邀请相关方参加，验收应出具验收书。</w:t>
      </w:r>
    </w:p>
    <w:p w14:paraId="6A68A75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70F128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2.17.3检验和验收标准、程序等具体内容以及前述验收书的效力详见</w:t>
      </w:r>
      <w:r>
        <w:rPr>
          <w:rFonts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i/>
          <w:color w:val="auto"/>
          <w:sz w:val="24"/>
          <w:highlight w:val="none"/>
        </w:rPr>
        <w:t>。</w:t>
      </w:r>
    </w:p>
    <w:bookmarkEnd w:id="172"/>
    <w:bookmarkEnd w:id="173"/>
    <w:bookmarkEnd w:id="174"/>
    <w:bookmarkEnd w:id="175"/>
    <w:p w14:paraId="0F280277">
      <w:pPr>
        <w:spacing w:line="360" w:lineRule="auto"/>
        <w:ind w:firstLine="437"/>
        <w:outlineLvl w:val="2"/>
        <w:rPr>
          <w:rFonts w:hint="eastAsia" w:asciiTheme="minorEastAsia" w:hAnsiTheme="minorEastAsia" w:eastAsiaTheme="minorEastAsia"/>
          <w:b/>
          <w:color w:val="auto"/>
          <w:sz w:val="24"/>
          <w:highlight w:val="none"/>
        </w:rPr>
      </w:pPr>
      <w:bookmarkStart w:id="203" w:name="_Toc259093691"/>
      <w:bookmarkStart w:id="204" w:name="_Toc279701262"/>
      <w:bookmarkStart w:id="205" w:name="_Toc30599"/>
      <w:bookmarkStart w:id="206" w:name="_Toc4355"/>
      <w:bookmarkStart w:id="207" w:name="_Toc487900372"/>
      <w:bookmarkStart w:id="208" w:name="_Toc18540"/>
      <w:r>
        <w:rPr>
          <w:rFonts w:hint="eastAsia" w:asciiTheme="minorEastAsia" w:hAnsiTheme="minorEastAsia" w:eastAsiaTheme="minorEastAsia"/>
          <w:b/>
          <w:bCs/>
          <w:color w:val="auto"/>
          <w:sz w:val="24"/>
          <w:highlight w:val="none"/>
          <w:lang w:val="zh-CN"/>
        </w:rPr>
        <w:t>2.1</w:t>
      </w:r>
      <w:r>
        <w:rPr>
          <w:rFonts w:asciiTheme="minorEastAsia" w:hAnsiTheme="minorEastAsia" w:eastAsiaTheme="minorEastAsia"/>
          <w:b/>
          <w:bCs/>
          <w:color w:val="auto"/>
          <w:sz w:val="24"/>
          <w:highlight w:val="none"/>
          <w:lang w:val="zh-CN"/>
        </w:rPr>
        <w:t>8</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计量单位</w:t>
      </w:r>
      <w:bookmarkEnd w:id="203"/>
      <w:bookmarkEnd w:id="204"/>
      <w:bookmarkEnd w:id="205"/>
      <w:bookmarkEnd w:id="206"/>
      <w:bookmarkEnd w:id="207"/>
      <w:bookmarkEnd w:id="208"/>
    </w:p>
    <w:p w14:paraId="6E617527">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除技术规范中另有规定外,合同的计量单位均使用国家法定计量单位。</w:t>
      </w:r>
    </w:p>
    <w:p w14:paraId="507CF282">
      <w:pPr>
        <w:spacing w:line="360" w:lineRule="auto"/>
        <w:ind w:firstLine="437"/>
        <w:outlineLvl w:val="2"/>
        <w:rPr>
          <w:rFonts w:hint="eastAsia" w:asciiTheme="minorEastAsia" w:hAnsiTheme="minorEastAsia" w:eastAsiaTheme="minorEastAsia"/>
          <w:b/>
          <w:bCs/>
          <w:color w:val="auto"/>
          <w:sz w:val="24"/>
          <w:highlight w:val="none"/>
        </w:rPr>
      </w:pPr>
      <w:bookmarkStart w:id="209" w:name="_Toc12773"/>
      <w:bookmarkStart w:id="210" w:name="_Toc279701263"/>
      <w:bookmarkStart w:id="211" w:name="_Toc10330"/>
      <w:bookmarkStart w:id="212" w:name="_Toc487900373"/>
      <w:bookmarkStart w:id="213" w:name="_Toc259093692"/>
      <w:bookmarkStart w:id="214" w:name="_Toc18567"/>
      <w:r>
        <w:rPr>
          <w:rFonts w:hint="eastAsia" w:asciiTheme="minorEastAsia" w:hAnsiTheme="minorEastAsia" w:eastAsiaTheme="minorEastAsia"/>
          <w:b/>
          <w:bCs/>
          <w:color w:val="auto"/>
          <w:sz w:val="24"/>
          <w:highlight w:val="none"/>
        </w:rPr>
        <w:t>2.</w:t>
      </w:r>
      <w:r>
        <w:rPr>
          <w:rFonts w:asciiTheme="minorEastAsia" w:hAnsiTheme="minorEastAsia" w:eastAsiaTheme="minorEastAsia"/>
          <w:b/>
          <w:bCs/>
          <w:color w:val="auto"/>
          <w:sz w:val="24"/>
          <w:highlight w:val="none"/>
        </w:rPr>
        <w:t>19</w:t>
      </w:r>
      <w:r>
        <w:rPr>
          <w:rFonts w:hint="eastAsia" w:asciiTheme="minorEastAsia" w:hAnsiTheme="minorEastAsia" w:eastAsiaTheme="minorEastAsia"/>
          <w:b/>
          <w:bCs/>
          <w:color w:val="auto"/>
          <w:sz w:val="24"/>
          <w:highlight w:val="none"/>
        </w:rPr>
        <w:t xml:space="preserve"> </w:t>
      </w:r>
      <w:r>
        <w:rPr>
          <w:rFonts w:hint="eastAsia" w:asciiTheme="minorEastAsia" w:hAnsiTheme="minorEastAsia" w:eastAsiaTheme="minorEastAsia"/>
          <w:b/>
          <w:bCs/>
          <w:color w:val="auto"/>
          <w:sz w:val="24"/>
          <w:highlight w:val="none"/>
          <w:lang w:val="zh-CN"/>
        </w:rPr>
        <w:t>合同使用的文字和</w:t>
      </w:r>
      <w:r>
        <w:rPr>
          <w:rFonts w:asciiTheme="minorEastAsia" w:hAnsiTheme="minorEastAsia" w:eastAsiaTheme="minorEastAsia"/>
          <w:b/>
          <w:bCs/>
          <w:color w:val="auto"/>
          <w:sz w:val="24"/>
          <w:highlight w:val="none"/>
          <w:lang w:val="zh-CN"/>
        </w:rPr>
        <w:t>适用的法律</w:t>
      </w:r>
      <w:bookmarkEnd w:id="209"/>
      <w:bookmarkEnd w:id="210"/>
      <w:bookmarkEnd w:id="211"/>
      <w:bookmarkEnd w:id="212"/>
      <w:bookmarkEnd w:id="213"/>
      <w:bookmarkEnd w:id="214"/>
    </w:p>
    <w:p w14:paraId="750CDEB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19.1合同使用汉语书就</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变更和解释</w:t>
      </w:r>
      <w:r>
        <w:rPr>
          <w:rFonts w:hint="eastAsia" w:asciiTheme="minorEastAsia" w:hAnsiTheme="minorEastAsia" w:eastAsiaTheme="minorEastAsia"/>
          <w:color w:val="auto"/>
          <w:sz w:val="24"/>
          <w:highlight w:val="none"/>
        </w:rPr>
        <w:t>；</w:t>
      </w:r>
    </w:p>
    <w:p w14:paraId="73E1891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19</w:t>
      </w:r>
      <w:r>
        <w:rPr>
          <w:rFonts w:hint="eastAsia" w:asciiTheme="minorEastAsia" w:hAnsiTheme="minorEastAsia" w:eastAsiaTheme="minorEastAsia"/>
          <w:color w:val="auto"/>
          <w:sz w:val="24"/>
          <w:highlight w:val="none"/>
        </w:rPr>
        <w:t>.2合同适用</w:t>
      </w:r>
      <w:r>
        <w:rPr>
          <w:rFonts w:asciiTheme="minorEastAsia" w:hAnsiTheme="minorEastAsia" w:eastAsiaTheme="minorEastAsia"/>
          <w:color w:val="auto"/>
          <w:sz w:val="24"/>
          <w:highlight w:val="none"/>
        </w:rPr>
        <w:t>中华人民共和国法律。</w:t>
      </w:r>
    </w:p>
    <w:p w14:paraId="48AC9C1F">
      <w:pPr>
        <w:spacing w:line="360" w:lineRule="auto"/>
        <w:ind w:firstLine="437"/>
        <w:outlineLvl w:val="2"/>
        <w:rPr>
          <w:rFonts w:hint="eastAsia" w:asciiTheme="minorEastAsia" w:hAnsiTheme="minorEastAsia" w:eastAsiaTheme="minorEastAsia"/>
          <w:b/>
          <w:color w:val="auto"/>
          <w:sz w:val="24"/>
          <w:highlight w:val="none"/>
        </w:rPr>
      </w:pPr>
      <w:bookmarkStart w:id="215" w:name="_Toc12004"/>
      <w:bookmarkStart w:id="216" w:name="_Toc3148"/>
      <w:bookmarkStart w:id="217" w:name="_Toc259093693"/>
      <w:bookmarkStart w:id="218" w:name="_Toc279701264"/>
      <w:bookmarkStart w:id="219" w:name="_Toc16673"/>
      <w:bookmarkStart w:id="220" w:name="_Toc487900374"/>
      <w:r>
        <w:rPr>
          <w:rFonts w:hint="eastAsia" w:asciiTheme="minorEastAsia" w:hAnsiTheme="minorEastAsia" w:eastAsiaTheme="minorEastAsia"/>
          <w:b/>
          <w:bCs/>
          <w:color w:val="auto"/>
          <w:sz w:val="24"/>
          <w:highlight w:val="none"/>
          <w:lang w:val="zh-CN"/>
        </w:rPr>
        <w:t>2.2</w:t>
      </w:r>
      <w:r>
        <w:rPr>
          <w:rFonts w:asciiTheme="minorEastAsia" w:hAnsiTheme="minorEastAsia" w:eastAsiaTheme="minorEastAsia"/>
          <w:b/>
          <w:bCs/>
          <w:color w:val="auto"/>
          <w:sz w:val="24"/>
          <w:highlight w:val="none"/>
          <w:lang w:val="zh-CN"/>
        </w:rPr>
        <w:t>0</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履约保证金</w:t>
      </w:r>
      <w:bookmarkEnd w:id="215"/>
      <w:bookmarkEnd w:id="216"/>
      <w:bookmarkEnd w:id="217"/>
      <w:bookmarkEnd w:id="218"/>
      <w:bookmarkEnd w:id="219"/>
      <w:r>
        <w:rPr>
          <w:rFonts w:hint="eastAsia" w:asciiTheme="minorEastAsia" w:hAnsiTheme="minorEastAsia" w:eastAsiaTheme="minorEastAsia"/>
          <w:b/>
          <w:bCs/>
          <w:color w:val="auto"/>
          <w:sz w:val="24"/>
          <w:highlight w:val="none"/>
          <w:lang w:val="zh-CN"/>
        </w:rPr>
        <w:t>（</w:t>
      </w:r>
      <w:r>
        <w:rPr>
          <w:rFonts w:hint="eastAsia" w:asciiTheme="minorEastAsia" w:hAnsiTheme="minorEastAsia" w:eastAsiaTheme="minorEastAsia"/>
          <w:b/>
          <w:bCs/>
          <w:color w:val="auto"/>
          <w:sz w:val="24"/>
          <w:highlight w:val="none"/>
        </w:rPr>
        <w:t>本项目不采用</w:t>
      </w:r>
      <w:r>
        <w:rPr>
          <w:rFonts w:hint="eastAsia" w:asciiTheme="minorEastAsia" w:hAnsiTheme="minorEastAsia" w:eastAsiaTheme="minorEastAsia"/>
          <w:b/>
          <w:bCs/>
          <w:color w:val="auto"/>
          <w:sz w:val="24"/>
          <w:highlight w:val="none"/>
          <w:lang w:val="zh-CN"/>
        </w:rPr>
        <w:t>）</w:t>
      </w:r>
    </w:p>
    <w:p w14:paraId="7FD97B4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.1采购文件要求乙方提交履约保证金的，乙方</w:t>
      </w:r>
      <w:r>
        <w:rPr>
          <w:rFonts w:asciiTheme="minorEastAsia" w:hAnsiTheme="minorEastAsia" w:eastAsiaTheme="minorEastAsia"/>
          <w:color w:val="auto"/>
          <w:sz w:val="24"/>
          <w:highlight w:val="none"/>
        </w:rPr>
        <w:t>应按</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约定的方式</w:t>
      </w:r>
      <w:r>
        <w:rPr>
          <w:rFonts w:hint="eastAsia" w:asciiTheme="minorEastAsia" w:hAnsiTheme="minorEastAsia" w:eastAsiaTheme="minorEastAsia"/>
          <w:color w:val="auto"/>
          <w:sz w:val="24"/>
          <w:highlight w:val="none"/>
        </w:rPr>
        <w:t>，以支票、汇票、本票或者金融机构、担保机构出具的保函等非现金形式提交；</w:t>
      </w:r>
    </w:p>
    <w:p w14:paraId="192ED1F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t>0.2</w:t>
      </w:r>
      <w:r>
        <w:rPr>
          <w:rFonts w:cs="Times New Roman" w:asciiTheme="minorEastAsia" w:hAnsiTheme="minorEastAsia" w:eastAsiaTheme="minorEastAsia"/>
          <w:color w:val="auto"/>
          <w:sz w:val="24"/>
          <w:szCs w:val="24"/>
          <w:highlight w:val="none"/>
        </w:rPr>
        <w:t>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约定期间内或者货物质量保证期内不予退还或者应完全有效</w:t>
      </w:r>
      <w:r>
        <w:rPr>
          <w:rFonts w:hint="eastAsia" w:cs="Times New Roman" w:asciiTheme="minorEastAsia" w:hAnsiTheme="minorEastAsia" w:eastAsiaTheme="minorEastAsia"/>
          <w:color w:val="auto"/>
          <w:sz w:val="24"/>
          <w:szCs w:val="24"/>
          <w:highlight w:val="none"/>
        </w:rPr>
        <w:t>，前述约定期间届满或者</w:t>
      </w:r>
      <w:r>
        <w:rPr>
          <w:rFonts w:cs="Times New Roman" w:asciiTheme="minorEastAsia" w:hAnsiTheme="minorEastAsia" w:eastAsiaTheme="minorEastAsia"/>
          <w:color w:val="auto"/>
          <w:sz w:val="24"/>
          <w:szCs w:val="24"/>
          <w:highlight w:val="none"/>
        </w:rPr>
        <w:t>货物质量保证期届满之日起</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rPr>
        <w:t>，甲方逾期退还履约保证金应承担违约责任。</w:t>
      </w:r>
    </w:p>
    <w:p w14:paraId="68E37D5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如果乙方不履行合同</w:t>
      </w:r>
      <w:r>
        <w:rPr>
          <w:rFonts w:hint="eastAsia" w:asciiTheme="minorEastAsia" w:hAnsiTheme="minorEastAsia" w:eastAsiaTheme="minorEastAsia"/>
          <w:color w:val="auto"/>
          <w:sz w:val="24"/>
          <w:highlight w:val="none"/>
        </w:rPr>
        <w:t>，履约保证金不予退还；如果乙方</w:t>
      </w:r>
      <w:r>
        <w:rPr>
          <w:rFonts w:asciiTheme="minorEastAsia" w:hAnsiTheme="minorEastAsia" w:eastAsiaTheme="minorEastAsia"/>
          <w:color w:val="auto"/>
          <w:sz w:val="24"/>
          <w:highlight w:val="none"/>
        </w:rPr>
        <w:t>未能按合同</w:t>
      </w:r>
      <w:r>
        <w:rPr>
          <w:rFonts w:hint="eastAsia" w:asciiTheme="minorEastAsia" w:hAnsiTheme="minorEastAsia" w:eastAsiaTheme="minorEastAsia"/>
          <w:color w:val="auto"/>
          <w:sz w:val="24"/>
          <w:highlight w:val="none"/>
        </w:rPr>
        <w:t>约</w:t>
      </w:r>
      <w:r>
        <w:rPr>
          <w:rFonts w:asciiTheme="minorEastAsia" w:hAnsiTheme="minorEastAsia" w:eastAsiaTheme="minorEastAsia"/>
          <w:color w:val="auto"/>
          <w:sz w:val="24"/>
          <w:highlight w:val="none"/>
        </w:rPr>
        <w:t>定全面履行义务，那么甲方有权从履约保证金中取得补偿或赔偿</w:t>
      </w:r>
      <w:r>
        <w:rPr>
          <w:rFonts w:hint="eastAsia" w:asciiTheme="minorEastAsia" w:hAnsiTheme="minorEastAsia" w:eastAsiaTheme="minorEastAsia"/>
          <w:color w:val="auto"/>
          <w:sz w:val="24"/>
          <w:highlight w:val="none"/>
        </w:rPr>
        <w:t>，同时不影响甲方要求乙方承担合同约定的超过履约保证金的违约责任的权利。</w:t>
      </w:r>
    </w:p>
    <w:bookmarkEnd w:id="220"/>
    <w:p w14:paraId="486532D2">
      <w:pPr>
        <w:spacing w:line="360" w:lineRule="auto"/>
        <w:ind w:firstLine="437"/>
        <w:outlineLvl w:val="2"/>
        <w:rPr>
          <w:rFonts w:hint="eastAsia" w:asciiTheme="minorEastAsia" w:hAnsiTheme="minorEastAsia" w:eastAsiaTheme="minorEastAsia"/>
          <w:b/>
          <w:color w:val="auto"/>
          <w:sz w:val="24"/>
          <w:highlight w:val="none"/>
        </w:rPr>
      </w:pPr>
      <w:bookmarkStart w:id="221" w:name="_Toc19890"/>
      <w:bookmarkStart w:id="222" w:name="_Toc14001"/>
      <w:bookmarkStart w:id="223" w:name="_Toc6885"/>
      <w:r>
        <w:rPr>
          <w:rFonts w:hint="eastAsia" w:asciiTheme="minorEastAsia" w:hAnsiTheme="minorEastAsia" w:eastAsiaTheme="minorEastAsia"/>
          <w:b/>
          <w:bCs/>
          <w:color w:val="auto"/>
          <w:sz w:val="24"/>
          <w:highlight w:val="none"/>
          <w:lang w:val="zh-CN"/>
        </w:rPr>
        <w:t>2.2</w:t>
      </w:r>
      <w:r>
        <w:rPr>
          <w:rFonts w:asciiTheme="minorEastAsia" w:hAnsiTheme="minorEastAsia" w:eastAsiaTheme="minorEastAsia"/>
          <w:b/>
          <w:bCs/>
          <w:color w:val="auto"/>
          <w:sz w:val="24"/>
          <w:highlight w:val="none"/>
          <w:lang w:val="zh-CN"/>
        </w:rPr>
        <w:t>1</w:t>
      </w:r>
      <w:r>
        <w:rPr>
          <w:rFonts w:hint="eastAsia" w:asciiTheme="minorEastAsia" w:hAnsiTheme="minorEastAsia" w:eastAsiaTheme="minorEastAsia"/>
          <w:b/>
          <w:bCs/>
          <w:color w:val="auto"/>
          <w:sz w:val="24"/>
          <w:highlight w:val="none"/>
          <w:lang w:val="zh-CN"/>
        </w:rPr>
        <w:t xml:space="preserve"> 合同份数</w:t>
      </w:r>
      <w:bookmarkEnd w:id="221"/>
      <w:bookmarkEnd w:id="222"/>
      <w:bookmarkEnd w:id="223"/>
    </w:p>
    <w:p w14:paraId="69DCF12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合同份数按</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每份均具有同等法律效力</w:t>
      </w:r>
      <w:r>
        <w:rPr>
          <w:rFonts w:hint="eastAsia" w:asciiTheme="minorEastAsia" w:hAnsiTheme="minorEastAsia" w:eastAsiaTheme="minorEastAsia"/>
          <w:color w:val="auto"/>
          <w:sz w:val="24"/>
          <w:highlight w:val="none"/>
        </w:rPr>
        <w:t>。</w:t>
      </w:r>
    </w:p>
    <w:p w14:paraId="47D14609">
      <w:pPr>
        <w:spacing w:line="360" w:lineRule="auto"/>
        <w:jc w:val="center"/>
        <w:outlineLvl w:val="1"/>
        <w:rPr>
          <w:rFonts w:hint="eastAsia"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bookmarkStart w:id="224" w:name="_Toc14669"/>
      <w:bookmarkStart w:id="225" w:name="_Toc331685784"/>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224"/>
      <w:bookmarkEnd w:id="225"/>
    </w:p>
    <w:p w14:paraId="1D63FB3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本部分</w:t>
      </w:r>
      <w:r>
        <w:rPr>
          <w:rFonts w:asciiTheme="minorEastAsia" w:hAnsiTheme="minorEastAsia" w:eastAsiaTheme="minorEastAsia"/>
          <w:color w:val="auto"/>
          <w:sz w:val="24"/>
          <w:highlight w:val="none"/>
        </w:rPr>
        <w:t>是对</w:t>
      </w:r>
      <w:r>
        <w:rPr>
          <w:rFonts w:hint="eastAsia" w:asciiTheme="minorEastAsia" w:hAnsiTheme="minorEastAsia" w:eastAsiaTheme="minorEastAsia"/>
          <w:color w:val="auto"/>
          <w:sz w:val="24"/>
          <w:highlight w:val="none"/>
        </w:rPr>
        <w:t>前两</w:t>
      </w:r>
      <w:r>
        <w:rPr>
          <w:rFonts w:asciiTheme="minorEastAsia" w:hAnsiTheme="minorEastAsia" w:eastAsiaTheme="minorEastAsia"/>
          <w:color w:val="auto"/>
          <w:sz w:val="24"/>
          <w:highlight w:val="none"/>
        </w:rPr>
        <w:t>部分的补充和修改</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如果</w:t>
      </w:r>
      <w:r>
        <w:rPr>
          <w:rFonts w:hint="eastAsia" w:asciiTheme="minorEastAsia" w:hAnsiTheme="minorEastAsia" w:eastAsiaTheme="minorEastAsia"/>
          <w:color w:val="auto"/>
          <w:sz w:val="24"/>
          <w:highlight w:val="none"/>
        </w:rPr>
        <w:t>前两</w:t>
      </w:r>
      <w:r>
        <w:rPr>
          <w:rFonts w:asciiTheme="minorEastAsia" w:hAnsiTheme="minorEastAsia" w:eastAsiaTheme="minorEastAsia"/>
          <w:color w:val="auto"/>
          <w:sz w:val="24"/>
          <w:highlight w:val="none"/>
        </w:rPr>
        <w:t>部分和本部分的约定不一致</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应以本部分的约定为准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本部分的条款号应与</w:t>
      </w:r>
      <w:r>
        <w:rPr>
          <w:rFonts w:hint="eastAsia" w:asciiTheme="minorEastAsia" w:hAnsiTheme="minorEastAsia" w:eastAsiaTheme="minorEastAsia"/>
          <w:color w:val="auto"/>
          <w:sz w:val="24"/>
          <w:highlight w:val="none"/>
        </w:rPr>
        <w:t>前两部分</w:t>
      </w:r>
      <w:r>
        <w:rPr>
          <w:rFonts w:asciiTheme="minorEastAsia" w:hAnsiTheme="minorEastAsia" w:eastAsiaTheme="minorEastAsia"/>
          <w:color w:val="auto"/>
          <w:sz w:val="24"/>
          <w:highlight w:val="none"/>
        </w:rPr>
        <w:t>的条款号保持对应</w:t>
      </w:r>
      <w:r>
        <w:rPr>
          <w:rFonts w:hint="eastAsia" w:asciiTheme="minorEastAsia" w:hAnsiTheme="minorEastAsia" w:eastAsiaTheme="minorEastAsia"/>
          <w:color w:val="auto"/>
          <w:sz w:val="24"/>
          <w:highlight w:val="none"/>
        </w:rPr>
        <w:t>；与前两部分</w:t>
      </w:r>
      <w:r>
        <w:rPr>
          <w:rFonts w:asciiTheme="minorEastAsia" w:hAnsiTheme="minorEastAsia" w:eastAsiaTheme="minorEastAsia"/>
          <w:color w:val="auto"/>
          <w:sz w:val="24"/>
          <w:highlight w:val="none"/>
        </w:rPr>
        <w:t>无对应关系的内容可另行编制条款号</w:t>
      </w:r>
      <w:r>
        <w:rPr>
          <w:rFonts w:hint="eastAsia" w:asciiTheme="minorEastAsia" w:hAnsiTheme="minorEastAsia" w:eastAsiaTheme="minorEastAsia"/>
          <w:color w:val="auto"/>
          <w:sz w:val="24"/>
          <w:highlight w:val="none"/>
        </w:rPr>
        <w:t>。</w:t>
      </w:r>
    </w:p>
    <w:tbl>
      <w:tblPr>
        <w:tblStyle w:val="2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83"/>
        <w:gridCol w:w="8413"/>
      </w:tblGrid>
      <w:tr w14:paraId="1F908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6F867DE3">
            <w:pPr>
              <w:jc w:val="center"/>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条款号</w:t>
            </w:r>
          </w:p>
        </w:tc>
        <w:tc>
          <w:tcPr>
            <w:tcW w:w="4525" w:type="pct"/>
            <w:vAlign w:val="center"/>
          </w:tcPr>
          <w:p w14:paraId="05F6E967">
            <w:pPr>
              <w:jc w:val="center"/>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约定内容</w:t>
            </w:r>
          </w:p>
        </w:tc>
      </w:tr>
      <w:tr w14:paraId="748A1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712D1FB6">
            <w:pPr>
              <w:spacing w:line="560" w:lineRule="exact"/>
              <w:rPr>
                <w:rFonts w:hint="eastAsia" w:asciiTheme="minorEastAsia" w:hAnsiTheme="minorEastAsia" w:eastAsiaTheme="minorEastAsia"/>
                <w:color w:val="auto"/>
                <w:sz w:val="24"/>
                <w:highlight w:val="none"/>
              </w:rPr>
            </w:pPr>
          </w:p>
        </w:tc>
        <w:tc>
          <w:tcPr>
            <w:tcW w:w="4525" w:type="pct"/>
            <w:vAlign w:val="center"/>
          </w:tcPr>
          <w:p w14:paraId="05B4E83C">
            <w:pPr>
              <w:spacing w:line="560" w:lineRule="exact"/>
              <w:rPr>
                <w:rFonts w:hint="eastAsia" w:asciiTheme="minorEastAsia" w:hAnsiTheme="minorEastAsia" w:eastAsiaTheme="minorEastAsia"/>
                <w:color w:val="auto"/>
                <w:sz w:val="24"/>
                <w:highlight w:val="none"/>
              </w:rPr>
            </w:pPr>
          </w:p>
        </w:tc>
      </w:tr>
      <w:tr w14:paraId="6416F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2EAFB577">
            <w:pPr>
              <w:spacing w:line="560" w:lineRule="exact"/>
              <w:rPr>
                <w:rFonts w:hint="eastAsia" w:asciiTheme="minorEastAsia" w:hAnsiTheme="minorEastAsia" w:eastAsiaTheme="minorEastAsia"/>
                <w:color w:val="auto"/>
                <w:sz w:val="24"/>
                <w:highlight w:val="none"/>
              </w:rPr>
            </w:pPr>
          </w:p>
        </w:tc>
        <w:tc>
          <w:tcPr>
            <w:tcW w:w="4525" w:type="pct"/>
            <w:vAlign w:val="center"/>
          </w:tcPr>
          <w:p w14:paraId="3914566F">
            <w:pPr>
              <w:spacing w:line="560" w:lineRule="exact"/>
              <w:rPr>
                <w:rFonts w:hint="eastAsia" w:asciiTheme="minorEastAsia" w:hAnsiTheme="minorEastAsia" w:eastAsiaTheme="minorEastAsia"/>
                <w:color w:val="auto"/>
                <w:sz w:val="24"/>
                <w:highlight w:val="none"/>
              </w:rPr>
            </w:pPr>
          </w:p>
        </w:tc>
      </w:tr>
      <w:tr w14:paraId="03378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13C37AD">
            <w:pPr>
              <w:spacing w:line="560" w:lineRule="exact"/>
              <w:rPr>
                <w:rFonts w:hint="eastAsia" w:asciiTheme="minorEastAsia" w:hAnsiTheme="minorEastAsia" w:eastAsiaTheme="minorEastAsia"/>
                <w:color w:val="auto"/>
                <w:sz w:val="24"/>
                <w:highlight w:val="none"/>
              </w:rPr>
            </w:pPr>
          </w:p>
        </w:tc>
        <w:tc>
          <w:tcPr>
            <w:tcW w:w="4525" w:type="pct"/>
            <w:vAlign w:val="center"/>
          </w:tcPr>
          <w:p w14:paraId="76A16038">
            <w:pPr>
              <w:spacing w:line="560" w:lineRule="exact"/>
              <w:rPr>
                <w:rFonts w:hint="eastAsia" w:asciiTheme="minorEastAsia" w:hAnsiTheme="minorEastAsia" w:eastAsiaTheme="minorEastAsia"/>
                <w:color w:val="auto"/>
                <w:sz w:val="24"/>
                <w:highlight w:val="none"/>
              </w:rPr>
            </w:pPr>
          </w:p>
        </w:tc>
      </w:tr>
      <w:tr w14:paraId="69843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7D3F0E7B">
            <w:pPr>
              <w:spacing w:line="560" w:lineRule="exact"/>
              <w:rPr>
                <w:rFonts w:hint="eastAsia" w:asciiTheme="minorEastAsia" w:hAnsiTheme="minorEastAsia" w:eastAsiaTheme="minorEastAsia"/>
                <w:color w:val="auto"/>
                <w:sz w:val="24"/>
                <w:highlight w:val="none"/>
              </w:rPr>
            </w:pPr>
          </w:p>
        </w:tc>
        <w:tc>
          <w:tcPr>
            <w:tcW w:w="4525" w:type="pct"/>
            <w:vAlign w:val="center"/>
          </w:tcPr>
          <w:p w14:paraId="4ACD72B2">
            <w:pPr>
              <w:spacing w:line="560" w:lineRule="exact"/>
              <w:rPr>
                <w:rFonts w:hint="eastAsia" w:asciiTheme="minorEastAsia" w:hAnsiTheme="minorEastAsia" w:eastAsiaTheme="minorEastAsia"/>
                <w:color w:val="auto"/>
                <w:sz w:val="24"/>
                <w:highlight w:val="none"/>
              </w:rPr>
            </w:pPr>
          </w:p>
        </w:tc>
      </w:tr>
      <w:tr w14:paraId="380A0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37ECF58">
            <w:pPr>
              <w:spacing w:line="560" w:lineRule="exact"/>
              <w:rPr>
                <w:rFonts w:hint="eastAsia" w:asciiTheme="minorEastAsia" w:hAnsiTheme="minorEastAsia" w:eastAsiaTheme="minorEastAsia"/>
                <w:color w:val="auto"/>
                <w:sz w:val="24"/>
                <w:highlight w:val="none"/>
              </w:rPr>
            </w:pPr>
          </w:p>
        </w:tc>
        <w:tc>
          <w:tcPr>
            <w:tcW w:w="4525" w:type="pct"/>
            <w:vAlign w:val="center"/>
          </w:tcPr>
          <w:p w14:paraId="49C265AB">
            <w:pPr>
              <w:spacing w:line="560" w:lineRule="exact"/>
              <w:rPr>
                <w:rFonts w:hint="eastAsia" w:asciiTheme="minorEastAsia" w:hAnsiTheme="minorEastAsia" w:eastAsiaTheme="minorEastAsia"/>
                <w:color w:val="auto"/>
                <w:sz w:val="24"/>
                <w:highlight w:val="none"/>
                <w:u w:val="single"/>
              </w:rPr>
            </w:pPr>
          </w:p>
        </w:tc>
      </w:tr>
      <w:tr w14:paraId="3F864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06586A38">
            <w:pPr>
              <w:spacing w:line="560" w:lineRule="exact"/>
              <w:rPr>
                <w:rFonts w:hint="eastAsia" w:asciiTheme="minorEastAsia" w:hAnsiTheme="minorEastAsia" w:eastAsiaTheme="minorEastAsia"/>
                <w:color w:val="auto"/>
                <w:sz w:val="24"/>
                <w:highlight w:val="none"/>
              </w:rPr>
            </w:pPr>
          </w:p>
        </w:tc>
        <w:tc>
          <w:tcPr>
            <w:tcW w:w="4525" w:type="pct"/>
            <w:vAlign w:val="center"/>
          </w:tcPr>
          <w:p w14:paraId="249F1F0D">
            <w:pPr>
              <w:spacing w:line="560" w:lineRule="exact"/>
              <w:rPr>
                <w:rFonts w:hint="eastAsia" w:asciiTheme="minorEastAsia" w:hAnsiTheme="minorEastAsia" w:eastAsiaTheme="minorEastAsia"/>
                <w:color w:val="auto"/>
                <w:sz w:val="24"/>
                <w:highlight w:val="none"/>
              </w:rPr>
            </w:pPr>
          </w:p>
        </w:tc>
      </w:tr>
      <w:tr w14:paraId="521AF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1429305B">
            <w:pPr>
              <w:spacing w:line="560" w:lineRule="exact"/>
              <w:rPr>
                <w:rFonts w:hint="eastAsia" w:asciiTheme="minorEastAsia" w:hAnsiTheme="minorEastAsia" w:eastAsiaTheme="minorEastAsia"/>
                <w:color w:val="auto"/>
                <w:sz w:val="24"/>
                <w:highlight w:val="none"/>
              </w:rPr>
            </w:pPr>
          </w:p>
        </w:tc>
        <w:tc>
          <w:tcPr>
            <w:tcW w:w="4525" w:type="pct"/>
            <w:vAlign w:val="center"/>
          </w:tcPr>
          <w:p w14:paraId="6BDE7CA4">
            <w:pPr>
              <w:spacing w:line="560" w:lineRule="exact"/>
              <w:rPr>
                <w:rFonts w:hint="eastAsia" w:asciiTheme="minorEastAsia" w:hAnsiTheme="minorEastAsia" w:eastAsiaTheme="minorEastAsia"/>
                <w:color w:val="auto"/>
                <w:sz w:val="24"/>
                <w:highlight w:val="none"/>
                <w:u w:val="single"/>
              </w:rPr>
            </w:pPr>
          </w:p>
        </w:tc>
      </w:tr>
      <w:tr w14:paraId="24FF1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D3D21E0">
            <w:pPr>
              <w:spacing w:line="560" w:lineRule="exact"/>
              <w:rPr>
                <w:rFonts w:hint="eastAsia" w:asciiTheme="minorEastAsia" w:hAnsiTheme="minorEastAsia" w:eastAsiaTheme="minorEastAsia"/>
                <w:color w:val="auto"/>
                <w:sz w:val="24"/>
                <w:highlight w:val="none"/>
              </w:rPr>
            </w:pPr>
          </w:p>
        </w:tc>
        <w:tc>
          <w:tcPr>
            <w:tcW w:w="4525" w:type="pct"/>
            <w:vAlign w:val="center"/>
          </w:tcPr>
          <w:p w14:paraId="16F3FB61">
            <w:pPr>
              <w:spacing w:line="560" w:lineRule="exact"/>
              <w:rPr>
                <w:rFonts w:hint="eastAsia" w:asciiTheme="minorEastAsia" w:hAnsiTheme="minorEastAsia" w:eastAsiaTheme="minorEastAsia"/>
                <w:color w:val="auto"/>
                <w:sz w:val="24"/>
                <w:highlight w:val="none"/>
              </w:rPr>
            </w:pPr>
          </w:p>
        </w:tc>
      </w:tr>
      <w:tr w14:paraId="39946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7DAE6613">
            <w:pPr>
              <w:spacing w:line="560" w:lineRule="exact"/>
              <w:rPr>
                <w:rFonts w:hint="eastAsia" w:asciiTheme="minorEastAsia" w:hAnsiTheme="minorEastAsia" w:eastAsiaTheme="minorEastAsia"/>
                <w:color w:val="auto"/>
                <w:sz w:val="24"/>
                <w:highlight w:val="none"/>
              </w:rPr>
            </w:pPr>
          </w:p>
        </w:tc>
        <w:tc>
          <w:tcPr>
            <w:tcW w:w="4525" w:type="pct"/>
            <w:vAlign w:val="center"/>
          </w:tcPr>
          <w:p w14:paraId="788F0C23">
            <w:pPr>
              <w:spacing w:line="560" w:lineRule="exact"/>
              <w:rPr>
                <w:rFonts w:hint="eastAsia" w:asciiTheme="minorEastAsia" w:hAnsiTheme="minorEastAsia" w:eastAsiaTheme="minorEastAsia"/>
                <w:color w:val="auto"/>
                <w:sz w:val="24"/>
                <w:highlight w:val="none"/>
              </w:rPr>
            </w:pPr>
          </w:p>
        </w:tc>
      </w:tr>
      <w:tr w14:paraId="7E833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BC072FD">
            <w:pPr>
              <w:spacing w:line="560" w:lineRule="exact"/>
              <w:rPr>
                <w:rFonts w:hint="eastAsia" w:asciiTheme="minorEastAsia" w:hAnsiTheme="minorEastAsia" w:eastAsiaTheme="minorEastAsia"/>
                <w:color w:val="auto"/>
                <w:sz w:val="24"/>
                <w:highlight w:val="none"/>
              </w:rPr>
            </w:pPr>
          </w:p>
        </w:tc>
        <w:tc>
          <w:tcPr>
            <w:tcW w:w="4525" w:type="pct"/>
            <w:vAlign w:val="center"/>
          </w:tcPr>
          <w:p w14:paraId="13FBDAFB">
            <w:pPr>
              <w:spacing w:line="560" w:lineRule="exact"/>
              <w:rPr>
                <w:rFonts w:hint="eastAsia" w:asciiTheme="minorEastAsia" w:hAnsiTheme="minorEastAsia" w:eastAsiaTheme="minorEastAsia"/>
                <w:color w:val="auto"/>
                <w:sz w:val="24"/>
                <w:highlight w:val="none"/>
              </w:rPr>
            </w:pPr>
          </w:p>
        </w:tc>
      </w:tr>
      <w:tr w14:paraId="7A9B0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0DD2D470">
            <w:pPr>
              <w:spacing w:line="560" w:lineRule="exact"/>
              <w:rPr>
                <w:rFonts w:hint="eastAsia" w:asciiTheme="minorEastAsia" w:hAnsiTheme="minorEastAsia" w:eastAsiaTheme="minorEastAsia"/>
                <w:color w:val="auto"/>
                <w:sz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738D00DC">
            <w:pPr>
              <w:spacing w:line="560" w:lineRule="exact"/>
              <w:rPr>
                <w:rFonts w:hint="eastAsia" w:asciiTheme="minorEastAsia" w:hAnsiTheme="minorEastAsia" w:eastAsiaTheme="minorEastAsia"/>
                <w:color w:val="auto"/>
                <w:sz w:val="24"/>
                <w:highlight w:val="none"/>
              </w:rPr>
            </w:pPr>
          </w:p>
        </w:tc>
      </w:tr>
      <w:tr w14:paraId="0D1EE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639E057C">
            <w:pPr>
              <w:spacing w:line="560" w:lineRule="exact"/>
              <w:rPr>
                <w:rFonts w:hint="eastAsia" w:asciiTheme="minorEastAsia" w:hAnsiTheme="minorEastAsia" w:eastAsiaTheme="minorEastAsia"/>
                <w:color w:val="auto"/>
                <w:sz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1A936664">
            <w:pPr>
              <w:spacing w:line="560" w:lineRule="exact"/>
              <w:rPr>
                <w:rFonts w:hint="eastAsia" w:asciiTheme="minorEastAsia" w:hAnsiTheme="minorEastAsia" w:eastAsiaTheme="minorEastAsia"/>
                <w:color w:val="auto"/>
                <w:sz w:val="24"/>
                <w:highlight w:val="none"/>
              </w:rPr>
            </w:pPr>
          </w:p>
        </w:tc>
      </w:tr>
    </w:tbl>
    <w:p w14:paraId="03788905">
      <w:pPr>
        <w:spacing w:line="360" w:lineRule="auto"/>
        <w:rPr>
          <w:rFonts w:hint="eastAsia" w:asciiTheme="minorEastAsia" w:hAnsiTheme="minorEastAsia" w:eastAsiaTheme="minorEastAsia" w:cstheme="minorEastAsia"/>
          <w:color w:val="auto"/>
          <w:sz w:val="28"/>
          <w:szCs w:val="27"/>
          <w:highlight w:val="none"/>
        </w:rPr>
      </w:pPr>
      <w:r>
        <w:rPr>
          <w:rFonts w:hint="eastAsia" w:asciiTheme="minorEastAsia" w:hAnsiTheme="minorEastAsia" w:eastAsiaTheme="minorEastAsia" w:cstheme="minorEastAsia"/>
          <w:color w:val="auto"/>
          <w:sz w:val="28"/>
          <w:szCs w:val="27"/>
          <w:highlight w:val="none"/>
        </w:rPr>
        <w:br w:type="page"/>
      </w:r>
    </w:p>
    <w:p w14:paraId="398B4B56">
      <w:pPr>
        <w:spacing w:line="360" w:lineRule="auto"/>
        <w:jc w:val="center"/>
        <w:outlineLvl w:val="0"/>
        <w:rPr>
          <w:rFonts w:hint="eastAsia" w:asciiTheme="minorEastAsia" w:hAnsiTheme="minorEastAsia" w:eastAsiaTheme="minorEastAsia"/>
          <w:b/>
          <w:color w:val="auto"/>
          <w:sz w:val="28"/>
          <w:highlight w:val="none"/>
        </w:rPr>
      </w:pPr>
      <w:bookmarkStart w:id="226" w:name="_Toc2430"/>
      <w:bookmarkStart w:id="227" w:name="_Toc25148"/>
      <w:r>
        <w:rPr>
          <w:rFonts w:hint="eastAsia" w:asciiTheme="minorEastAsia" w:hAnsiTheme="minorEastAsia" w:eastAsiaTheme="minorEastAsia"/>
          <w:b/>
          <w:color w:val="auto"/>
          <w:sz w:val="28"/>
          <w:highlight w:val="none"/>
        </w:rPr>
        <w:t>第六章  响应文件格式</w:t>
      </w:r>
      <w:bookmarkEnd w:id="226"/>
      <w:bookmarkEnd w:id="227"/>
    </w:p>
    <w:p w14:paraId="73F90E4C">
      <w:pPr>
        <w:spacing w:line="900" w:lineRule="exact"/>
        <w:jc w:val="center"/>
        <w:rPr>
          <w:rFonts w:hint="eastAsia" w:asciiTheme="minorEastAsia" w:hAnsiTheme="minorEastAsia" w:eastAsiaTheme="minorEastAsia"/>
          <w:b/>
          <w:color w:val="auto"/>
          <w:sz w:val="72"/>
          <w:highlight w:val="none"/>
        </w:rPr>
      </w:pPr>
    </w:p>
    <w:p w14:paraId="77B4D100">
      <w:pPr>
        <w:spacing w:line="900" w:lineRule="exact"/>
        <w:jc w:val="center"/>
        <w:outlineLvl w:val="2"/>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7F218BEA">
      <w:pPr>
        <w:spacing w:line="900" w:lineRule="exact"/>
        <w:jc w:val="center"/>
        <w:rPr>
          <w:rFonts w:hint="eastAsia" w:asciiTheme="minorEastAsia" w:hAnsiTheme="minorEastAsia" w:eastAsiaTheme="minorEastAsia"/>
          <w:b/>
          <w:color w:val="auto"/>
          <w:sz w:val="72"/>
          <w:highlight w:val="none"/>
        </w:rPr>
      </w:pPr>
    </w:p>
    <w:p w14:paraId="388198C3">
      <w:pPr>
        <w:spacing w:line="900" w:lineRule="exact"/>
        <w:jc w:val="center"/>
        <w:outlineLvl w:val="2"/>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20555994">
      <w:pPr>
        <w:spacing w:line="900" w:lineRule="exact"/>
        <w:jc w:val="center"/>
        <w:rPr>
          <w:rFonts w:hint="eastAsia" w:asciiTheme="minorEastAsia" w:hAnsiTheme="minorEastAsia" w:eastAsiaTheme="minorEastAsia"/>
          <w:b/>
          <w:color w:val="auto"/>
          <w:sz w:val="72"/>
          <w:highlight w:val="none"/>
        </w:rPr>
      </w:pPr>
    </w:p>
    <w:p w14:paraId="421AC818">
      <w:pPr>
        <w:spacing w:line="900" w:lineRule="exact"/>
        <w:jc w:val="center"/>
        <w:outlineLvl w:val="2"/>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7991A6D4">
      <w:pPr>
        <w:spacing w:line="900" w:lineRule="exact"/>
        <w:jc w:val="center"/>
        <w:rPr>
          <w:rFonts w:hint="eastAsia" w:asciiTheme="minorEastAsia" w:hAnsiTheme="minorEastAsia" w:eastAsiaTheme="minorEastAsia"/>
          <w:b/>
          <w:color w:val="auto"/>
          <w:sz w:val="72"/>
          <w:highlight w:val="none"/>
        </w:rPr>
      </w:pPr>
    </w:p>
    <w:p w14:paraId="1B18D26F">
      <w:pPr>
        <w:jc w:val="center"/>
        <w:outlineLvl w:val="2"/>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322986CD">
      <w:pPr>
        <w:spacing w:after="156" w:afterLines="50"/>
        <w:jc w:val="center"/>
        <w:rPr>
          <w:rFonts w:hint="eastAsia" w:asciiTheme="minorEastAsia" w:hAnsiTheme="minorEastAsia" w:eastAsiaTheme="minorEastAsia"/>
          <w:b/>
          <w:color w:val="auto"/>
          <w:sz w:val="72"/>
          <w:highlight w:val="none"/>
        </w:rPr>
      </w:pPr>
    </w:p>
    <w:p w14:paraId="6E6114FF">
      <w:pPr>
        <w:spacing w:after="156" w:afterLines="50" w:line="500" w:lineRule="exact"/>
        <w:rPr>
          <w:rFonts w:hint="eastAsia" w:asciiTheme="minorEastAsia" w:hAnsiTheme="minorEastAsia" w:eastAsiaTheme="minorEastAsia"/>
          <w:b/>
          <w:color w:val="auto"/>
          <w:sz w:val="72"/>
          <w:highlight w:val="none"/>
        </w:rPr>
      </w:pPr>
    </w:p>
    <w:p w14:paraId="6FBB6A1F">
      <w:pPr>
        <w:pStyle w:val="21"/>
        <w:ind w:firstLine="210"/>
        <w:rPr>
          <w:rFonts w:hint="eastAsia"/>
          <w:color w:val="auto"/>
          <w:highlight w:val="none"/>
        </w:rPr>
      </w:pPr>
    </w:p>
    <w:p w14:paraId="0F947CD4">
      <w:pPr>
        <w:spacing w:after="156" w:afterLines="50" w:line="500" w:lineRule="exact"/>
        <w:jc w:val="center"/>
        <w:rPr>
          <w:rFonts w:hint="eastAsia" w:asciiTheme="minorEastAsia" w:hAnsiTheme="minorEastAsia" w:eastAsiaTheme="minorEastAsia"/>
          <w:b/>
          <w:color w:val="auto"/>
          <w:sz w:val="28"/>
          <w:szCs w:val="28"/>
          <w:highlight w:val="none"/>
        </w:rPr>
      </w:pPr>
    </w:p>
    <w:p w14:paraId="1C89988A">
      <w:pPr>
        <w:tabs>
          <w:tab w:val="left" w:pos="2410"/>
        </w:tabs>
        <w:autoSpaceDE w:val="0"/>
        <w:autoSpaceDN w:val="0"/>
        <w:adjustRightInd w:val="0"/>
        <w:snapToGrid w:val="0"/>
        <w:spacing w:line="360" w:lineRule="auto"/>
        <w:ind w:firstLine="964" w:firstLineChars="3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9DB9006">
      <w:pPr>
        <w:tabs>
          <w:tab w:val="left" w:pos="2410"/>
        </w:tabs>
        <w:autoSpaceDE w:val="0"/>
        <w:autoSpaceDN w:val="0"/>
        <w:adjustRightInd w:val="0"/>
        <w:snapToGrid w:val="0"/>
        <w:spacing w:line="360" w:lineRule="auto"/>
        <w:ind w:firstLine="964" w:firstLineChars="3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3C1C675">
      <w:pPr>
        <w:spacing w:after="156" w:afterLines="50" w:line="500" w:lineRule="exact"/>
        <w:jc w:val="center"/>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28"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28"/>
    </w:p>
    <w:p w14:paraId="0B7BC7CA">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5711E3E4">
      <w:pPr>
        <w:spacing w:line="360" w:lineRule="auto"/>
        <w:jc w:val="center"/>
        <w:outlineLvl w:val="1"/>
        <w:rPr>
          <w:rFonts w:hint="eastAsia" w:asciiTheme="minorEastAsia" w:hAnsiTheme="minorEastAsia" w:eastAsiaTheme="minorEastAsia"/>
          <w:b/>
          <w:color w:val="auto"/>
          <w:sz w:val="24"/>
          <w:highlight w:val="none"/>
        </w:rPr>
      </w:pPr>
      <w:bookmarkStart w:id="229" w:name="_Toc461056631"/>
      <w:bookmarkStart w:id="230" w:name="_Toc461053086"/>
      <w:bookmarkStart w:id="231" w:name="_Toc520983587"/>
      <w:bookmarkStart w:id="232" w:name="_Toc5881"/>
      <w:bookmarkStart w:id="233" w:name="_Toc26791"/>
      <w:r>
        <w:rPr>
          <w:rFonts w:hint="eastAsia" w:asciiTheme="minorEastAsia" w:hAnsiTheme="minorEastAsia" w:eastAsiaTheme="minorEastAsia"/>
          <w:b/>
          <w:color w:val="auto"/>
          <w:sz w:val="24"/>
          <w:highlight w:val="none"/>
        </w:rPr>
        <w:t>一</w:t>
      </w:r>
      <w:bookmarkEnd w:id="229"/>
      <w:bookmarkEnd w:id="230"/>
      <w:r>
        <w:rPr>
          <w:rFonts w:hint="eastAsia" w:asciiTheme="minorEastAsia" w:hAnsiTheme="minorEastAsia" w:eastAsiaTheme="minorEastAsia"/>
          <w:b/>
          <w:color w:val="auto"/>
          <w:sz w:val="24"/>
          <w:highlight w:val="none"/>
        </w:rPr>
        <w:t>、报价表格式</w:t>
      </w:r>
      <w:bookmarkEnd w:id="231"/>
      <w:bookmarkEnd w:id="232"/>
      <w:bookmarkEnd w:id="233"/>
    </w:p>
    <w:p w14:paraId="13C8DAF6">
      <w:pPr>
        <w:spacing w:before="156" w:beforeLines="50" w:after="156" w:afterLines="50" w:line="360" w:lineRule="auto"/>
        <w:jc w:val="left"/>
        <w:outlineLvl w:val="2"/>
        <w:rPr>
          <w:rFonts w:hint="eastAsia"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5B56447D">
      <w:pPr>
        <w:snapToGrid w:val="0"/>
        <w:spacing w:line="360" w:lineRule="auto"/>
        <w:jc w:val="left"/>
        <w:rPr>
          <w:rFonts w:hint="eastAsia"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9"/>
        <w:gridCol w:w="6727"/>
      </w:tblGrid>
      <w:tr w14:paraId="7830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CCF6D9F">
            <w:pPr>
              <w:spacing w:line="360" w:lineRule="auto"/>
              <w:jc w:val="center"/>
              <w:rPr>
                <w:rFonts w:hint="eastAsia"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3288A5CD">
            <w:pPr>
              <w:spacing w:line="360" w:lineRule="auto"/>
              <w:rPr>
                <w:rFonts w:hint="eastAsia" w:ascii="宋体" w:hAnsi="宋体" w:eastAsia="宋体"/>
                <w:b/>
                <w:color w:val="auto"/>
                <w:sz w:val="24"/>
                <w:highlight w:val="none"/>
              </w:rPr>
            </w:pPr>
          </w:p>
        </w:tc>
      </w:tr>
      <w:tr w14:paraId="4D0E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36F3E78">
            <w:pPr>
              <w:spacing w:line="360" w:lineRule="exact"/>
              <w:jc w:val="center"/>
              <w:rPr>
                <w:rFonts w:hint="eastAsia" w:ascii="宋体" w:hAnsi="宋体" w:eastAsia="宋体"/>
                <w:b/>
                <w:color w:val="auto"/>
                <w:sz w:val="24"/>
                <w:highlight w:val="none"/>
              </w:rPr>
            </w:pPr>
            <w:r>
              <w:rPr>
                <w:rFonts w:hint="eastAsia" w:ascii="宋体" w:hAnsi="宋体" w:eastAsia="宋体"/>
                <w:b/>
                <w:color w:val="auto"/>
                <w:sz w:val="24"/>
                <w:highlight w:val="none"/>
                <w:lang w:eastAsia="zh-CN"/>
              </w:rPr>
              <w:t>谈判</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300518BD">
            <w:pPr>
              <w:widowControl/>
              <w:spacing w:line="360" w:lineRule="exact"/>
              <w:rPr>
                <w:rFonts w:hint="eastAsia"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1703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3E9C14F">
            <w:pPr>
              <w:spacing w:line="360" w:lineRule="auto"/>
              <w:jc w:val="center"/>
              <w:rPr>
                <w:rFonts w:hint="eastAsia" w:ascii="宋体" w:hAnsi="宋体" w:eastAsia="宋体"/>
                <w:b/>
                <w:color w:val="auto"/>
                <w:sz w:val="24"/>
                <w:highlight w:val="none"/>
              </w:rPr>
            </w:pPr>
            <w:r>
              <w:rPr>
                <w:rFonts w:hint="eastAsia" w:ascii="宋体" w:hAnsi="宋体" w:eastAsia="宋体"/>
                <w:b/>
                <w:color w:val="auto"/>
                <w:sz w:val="24"/>
                <w:highlight w:val="none"/>
              </w:rPr>
              <w:t>报价</w:t>
            </w:r>
          </w:p>
          <w:p w14:paraId="2CF60E29">
            <w:pPr>
              <w:spacing w:line="360" w:lineRule="auto"/>
              <w:jc w:val="center"/>
              <w:rPr>
                <w:rFonts w:hint="eastAsia"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7FAA01BF">
            <w:pPr>
              <w:snapToGrid w:val="0"/>
              <w:spacing w:line="360" w:lineRule="auto"/>
              <w:rPr>
                <w:rFonts w:hint="eastAsia" w:ascii="宋体" w:hAnsi="宋体" w:eastAsia="宋体"/>
                <w:color w:val="auto"/>
                <w:sz w:val="24"/>
                <w:szCs w:val="28"/>
                <w:highlight w:val="none"/>
              </w:rPr>
            </w:pPr>
          </w:p>
          <w:p w14:paraId="6083AD77">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1F0E029">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60094690">
            <w:pPr>
              <w:snapToGrid w:val="0"/>
              <w:spacing w:line="360" w:lineRule="auto"/>
              <w:rPr>
                <w:rFonts w:hint="eastAsia" w:ascii="宋体" w:hAnsi="宋体" w:eastAsia="宋体"/>
                <w:b/>
                <w:color w:val="auto"/>
                <w:sz w:val="24"/>
                <w:highlight w:val="none"/>
              </w:rPr>
            </w:pPr>
          </w:p>
        </w:tc>
      </w:tr>
      <w:tr w14:paraId="795A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3EA7F715">
            <w:pPr>
              <w:spacing w:line="360" w:lineRule="auto"/>
              <w:jc w:val="center"/>
              <w:rPr>
                <w:rFonts w:hint="eastAsia"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3C93C4DB">
            <w:pPr>
              <w:spacing w:line="360" w:lineRule="auto"/>
              <w:rPr>
                <w:rFonts w:hint="eastAsia" w:ascii="宋体" w:hAnsi="宋体" w:eastAsia="宋体"/>
                <w:b/>
                <w:color w:val="auto"/>
                <w:sz w:val="24"/>
                <w:highlight w:val="none"/>
              </w:rPr>
            </w:pPr>
          </w:p>
        </w:tc>
      </w:tr>
    </w:tbl>
    <w:p w14:paraId="6A864376">
      <w:pPr>
        <w:spacing w:line="360" w:lineRule="auto"/>
        <w:ind w:firstLine="4800" w:firstLineChars="2000"/>
        <w:rPr>
          <w:rFonts w:hint="eastAsia" w:ascii="宋体" w:hAnsi="宋体" w:eastAsia="宋体"/>
          <w:color w:val="auto"/>
          <w:sz w:val="24"/>
          <w:highlight w:val="none"/>
        </w:rPr>
      </w:pPr>
      <w:r>
        <w:rPr>
          <w:rFonts w:hint="eastAsia" w:ascii="宋体" w:hAnsi="宋体" w:eastAsia="宋体"/>
          <w:color w:val="auto"/>
          <w:sz w:val="24"/>
          <w:highlight w:val="none"/>
        </w:rPr>
        <w:t>供应商公章：</w:t>
      </w:r>
      <w:r>
        <w:rPr>
          <w:rFonts w:hint="eastAsia" w:ascii="宋体" w:hAnsi="宋体" w:eastAsia="宋体"/>
          <w:color w:val="auto"/>
          <w:sz w:val="24"/>
          <w:highlight w:val="none"/>
          <w:u w:val="single"/>
        </w:rPr>
        <w:t xml:space="preserve">             </w:t>
      </w:r>
    </w:p>
    <w:p w14:paraId="617DBF96">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C57E063">
      <w:pPr>
        <w:adjustRightInd w:val="0"/>
        <w:snapToGrid w:val="0"/>
        <w:spacing w:line="360" w:lineRule="auto"/>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AF51215">
      <w:pPr>
        <w:adjustRightInd w:val="0"/>
        <w:snapToGrid w:val="0"/>
        <w:spacing w:line="360" w:lineRule="auto"/>
        <w:ind w:firstLine="482" w:firstLineChars="200"/>
        <w:rPr>
          <w:rFonts w:hint="eastAsia" w:ascii="宋体" w:hAnsi="宋体" w:eastAsia="宋体"/>
          <w:color w:val="auto"/>
          <w:sz w:val="24"/>
          <w:highlight w:val="none"/>
        </w:rPr>
      </w:pPr>
      <w:r>
        <w:rPr>
          <w:rFonts w:hint="eastAsia" w:ascii="宋体" w:hAnsi="宋体" w:eastAsia="宋体"/>
          <w:b/>
          <w:bCs/>
          <w:color w:val="auto"/>
          <w:sz w:val="24"/>
          <w:szCs w:val="28"/>
          <w:highlight w:val="none"/>
        </w:rPr>
        <w:t>1.本表内容根据</w:t>
      </w:r>
      <w:r>
        <w:rPr>
          <w:rFonts w:hint="eastAsia" w:ascii="宋体" w:hAnsi="宋体" w:eastAsia="宋体"/>
          <w:b/>
          <w:bCs/>
          <w:color w:val="auto"/>
          <w:sz w:val="24"/>
          <w:szCs w:val="28"/>
          <w:highlight w:val="none"/>
          <w:lang w:eastAsia="zh-CN"/>
        </w:rPr>
        <w:t>谈判</w:t>
      </w:r>
      <w:r>
        <w:rPr>
          <w:rFonts w:hint="eastAsia" w:ascii="宋体" w:hAnsi="宋体" w:eastAsia="宋体"/>
          <w:b/>
          <w:bCs/>
          <w:color w:val="auto"/>
          <w:sz w:val="24"/>
          <w:szCs w:val="28"/>
          <w:highlight w:val="none"/>
        </w:rPr>
        <w:t>文件要求包括了服务及其配套的</w:t>
      </w:r>
      <w:r>
        <w:rPr>
          <w:rFonts w:hint="eastAsia" w:ascii="宋体" w:hAnsi="宋体" w:eastAsia="宋体"/>
          <w:b/>
          <w:bCs/>
          <w:color w:val="auto"/>
          <w:sz w:val="24"/>
          <w:szCs w:val="28"/>
          <w:highlight w:val="none"/>
          <w:lang w:val="en-US" w:eastAsia="zh-CN"/>
        </w:rPr>
        <w:t>专家评审</w:t>
      </w:r>
      <w:r>
        <w:rPr>
          <w:rFonts w:hint="eastAsia" w:ascii="宋体" w:hAnsi="宋体" w:eastAsia="宋体"/>
          <w:b/>
          <w:bCs/>
          <w:color w:val="auto"/>
          <w:sz w:val="24"/>
          <w:szCs w:val="28"/>
          <w:highlight w:val="none"/>
        </w:rPr>
        <w:t>、税费以及售后服务保障等所有费用。</w:t>
      </w:r>
    </w:p>
    <w:p w14:paraId="295217D6">
      <w:pPr>
        <w:adjustRightInd w:val="0"/>
        <w:snapToGrid w:val="0"/>
        <w:spacing w:line="360" w:lineRule="auto"/>
        <w:ind w:firstLine="482" w:firstLineChars="20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3E62269C">
      <w:pPr>
        <w:adjustRightInd w:val="0"/>
        <w:snapToGrid w:val="0"/>
        <w:spacing w:line="360" w:lineRule="auto"/>
        <w:ind w:firstLine="482" w:firstLineChars="20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3.表中大写金额与小写金额不一致的，以大写金额为准。</w:t>
      </w:r>
    </w:p>
    <w:p w14:paraId="13D3CD35">
      <w:pPr>
        <w:widowControl/>
        <w:jc w:val="left"/>
        <w:rPr>
          <w:rFonts w:hint="eastAsia"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52864ABA">
      <w:pPr>
        <w:spacing w:before="156" w:beforeLines="50" w:after="156" w:afterLines="50" w:line="360" w:lineRule="auto"/>
        <w:jc w:val="left"/>
        <w:outlineLvl w:val="2"/>
        <w:rPr>
          <w:rFonts w:hint="eastAsia" w:ascii="宋体" w:hAnsi="宋体" w:eastAsia="宋体"/>
          <w:b/>
          <w:color w:val="auto"/>
          <w:sz w:val="24"/>
          <w:szCs w:val="28"/>
          <w:highlight w:val="none"/>
        </w:rPr>
      </w:pPr>
      <w:r>
        <w:rPr>
          <w:rFonts w:hint="eastAsia" w:ascii="宋体" w:hAnsi="宋体" w:eastAsia="宋体"/>
          <w:b/>
          <w:color w:val="auto"/>
          <w:sz w:val="24"/>
          <w:szCs w:val="28"/>
          <w:highlight w:val="none"/>
        </w:rPr>
        <w:t>1-2 分项报价明细表</w:t>
      </w:r>
    </w:p>
    <w:p w14:paraId="0D689FC4">
      <w:pPr>
        <w:spacing w:line="360" w:lineRule="auto"/>
        <w:ind w:firstLine="435"/>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i/>
          <w:color w:val="auto"/>
          <w:sz w:val="24"/>
          <w:highlight w:val="none"/>
        </w:rPr>
        <w:t>（仅供参考，供应商可自行制作格式）</w:t>
      </w:r>
    </w:p>
    <w:tbl>
      <w:tblPr>
        <w:tblStyle w:val="23"/>
        <w:tblW w:w="50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3449"/>
        <w:gridCol w:w="1505"/>
        <w:gridCol w:w="1889"/>
        <w:gridCol w:w="1839"/>
      </w:tblGrid>
      <w:tr w14:paraId="0B16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58" w:type="pct"/>
            <w:vAlign w:val="center"/>
          </w:tcPr>
          <w:p w14:paraId="61ACEF5A">
            <w:pPr>
              <w:jc w:val="center"/>
              <w:rPr>
                <w:rFonts w:hint="eastAsia" w:ascii="宋体" w:hAnsi="宋体" w:eastAsia="宋体"/>
                <w:b/>
                <w:color w:val="auto"/>
                <w:sz w:val="24"/>
                <w:highlight w:val="none"/>
              </w:rPr>
            </w:pPr>
            <w:r>
              <w:rPr>
                <w:rFonts w:hint="eastAsia" w:ascii="宋体" w:hAnsi="宋体" w:eastAsia="宋体"/>
                <w:b/>
                <w:color w:val="auto"/>
                <w:sz w:val="24"/>
                <w:highlight w:val="none"/>
              </w:rPr>
              <w:t>序号</w:t>
            </w:r>
          </w:p>
        </w:tc>
        <w:tc>
          <w:tcPr>
            <w:tcW w:w="1804" w:type="pct"/>
            <w:vAlign w:val="center"/>
          </w:tcPr>
          <w:p w14:paraId="430DC768">
            <w:pPr>
              <w:jc w:val="center"/>
              <w:rPr>
                <w:rFonts w:hint="eastAsia" w:ascii="宋体" w:hAnsi="宋体" w:eastAsia="宋体"/>
                <w:b/>
                <w:color w:val="auto"/>
                <w:sz w:val="24"/>
                <w:highlight w:val="none"/>
              </w:rPr>
            </w:pPr>
            <w:r>
              <w:rPr>
                <w:rFonts w:hint="eastAsia" w:ascii="宋体" w:hAnsi="宋体" w:eastAsia="宋体"/>
                <w:b/>
                <w:color w:val="auto"/>
                <w:sz w:val="24"/>
                <w:highlight w:val="none"/>
              </w:rPr>
              <w:t>服务内容</w:t>
            </w:r>
          </w:p>
        </w:tc>
        <w:tc>
          <w:tcPr>
            <w:tcW w:w="787" w:type="pct"/>
            <w:vAlign w:val="center"/>
          </w:tcPr>
          <w:p w14:paraId="04DAFABA">
            <w:pPr>
              <w:jc w:val="center"/>
              <w:rPr>
                <w:rFonts w:hint="eastAsia" w:ascii="宋体" w:hAnsi="宋体" w:eastAsia="宋体"/>
                <w:b/>
                <w:color w:val="auto"/>
                <w:sz w:val="24"/>
                <w:highlight w:val="none"/>
              </w:rPr>
            </w:pPr>
            <w:r>
              <w:rPr>
                <w:rFonts w:hint="eastAsia" w:ascii="宋体" w:hAnsi="宋体" w:eastAsia="宋体"/>
                <w:b/>
                <w:color w:val="auto"/>
                <w:sz w:val="24"/>
                <w:highlight w:val="none"/>
              </w:rPr>
              <w:t>项</w:t>
            </w:r>
          </w:p>
        </w:tc>
        <w:tc>
          <w:tcPr>
            <w:tcW w:w="986" w:type="pct"/>
            <w:vAlign w:val="center"/>
          </w:tcPr>
          <w:p w14:paraId="75E85524">
            <w:pPr>
              <w:jc w:val="center"/>
              <w:rPr>
                <w:rFonts w:hint="eastAsia" w:ascii="宋体" w:hAnsi="宋体" w:eastAsia="宋体"/>
                <w:b/>
                <w:color w:val="auto"/>
                <w:sz w:val="24"/>
                <w:highlight w:val="none"/>
              </w:rPr>
            </w:pPr>
            <w:r>
              <w:rPr>
                <w:rFonts w:hint="eastAsia" w:ascii="宋体" w:hAnsi="宋体" w:eastAsia="宋体"/>
                <w:b/>
                <w:color w:val="auto"/>
                <w:sz w:val="24"/>
                <w:highlight w:val="none"/>
              </w:rPr>
              <w:t>单价</w:t>
            </w:r>
          </w:p>
        </w:tc>
        <w:tc>
          <w:tcPr>
            <w:tcW w:w="962" w:type="pct"/>
            <w:vAlign w:val="center"/>
          </w:tcPr>
          <w:p w14:paraId="7FD22D52">
            <w:pPr>
              <w:jc w:val="center"/>
              <w:rPr>
                <w:rFonts w:hint="eastAsia" w:ascii="宋体" w:hAnsi="宋体" w:eastAsia="宋体"/>
                <w:b/>
                <w:color w:val="auto"/>
                <w:sz w:val="24"/>
                <w:highlight w:val="none"/>
              </w:rPr>
            </w:pPr>
            <w:r>
              <w:rPr>
                <w:rFonts w:hint="eastAsia" w:ascii="宋体" w:hAnsi="宋体" w:eastAsia="宋体"/>
                <w:b/>
                <w:color w:val="auto"/>
                <w:sz w:val="24"/>
                <w:highlight w:val="none"/>
              </w:rPr>
              <w:t>小计金额（元）</w:t>
            </w:r>
          </w:p>
        </w:tc>
      </w:tr>
      <w:tr w14:paraId="2EAA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 w:type="pct"/>
            <w:tcBorders>
              <w:bottom w:val="single" w:color="auto" w:sz="4" w:space="0"/>
            </w:tcBorders>
            <w:vAlign w:val="center"/>
          </w:tcPr>
          <w:p w14:paraId="4ACA1B11">
            <w:pPr>
              <w:jc w:val="center"/>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3449" w:type="dxa"/>
            <w:vAlign w:val="top"/>
          </w:tcPr>
          <w:p w14:paraId="0FDF30F1">
            <w:pPr>
              <w:tabs>
                <w:tab w:val="left" w:pos="870"/>
              </w:tabs>
              <w:spacing w:line="360" w:lineRule="auto"/>
              <w:jc w:val="center"/>
              <w:rPr>
                <w:rFonts w:hint="eastAsia" w:ascii="宋体" w:hAnsi="宋体" w:eastAsia="宋体"/>
                <w:color w:val="auto"/>
                <w:sz w:val="24"/>
                <w:highlight w:val="none"/>
                <w:lang w:eastAsia="zh-CN"/>
              </w:rPr>
            </w:pPr>
            <w:r>
              <w:rPr>
                <w:rFonts w:hint="eastAsia" w:ascii="仿宋_GB2312" w:hAnsi="宋体" w:eastAsia="仿宋_GB2312" w:cs="宋体"/>
                <w:color w:val="auto"/>
                <w:sz w:val="28"/>
                <w:szCs w:val="28"/>
                <w:highlight w:val="none"/>
              </w:rPr>
              <w:t>4套参赛服装费（含皮鞋）及现场造型妆容</w:t>
            </w:r>
          </w:p>
        </w:tc>
        <w:tc>
          <w:tcPr>
            <w:tcW w:w="787" w:type="pct"/>
            <w:vAlign w:val="center"/>
          </w:tcPr>
          <w:p w14:paraId="5E19AF91">
            <w:pPr>
              <w:jc w:val="center"/>
              <w:rPr>
                <w:rFonts w:hint="eastAsia" w:ascii="宋体" w:hAnsi="宋体" w:eastAsia="宋体"/>
                <w:color w:val="auto"/>
                <w:sz w:val="24"/>
                <w:highlight w:val="none"/>
              </w:rPr>
            </w:pPr>
          </w:p>
        </w:tc>
        <w:tc>
          <w:tcPr>
            <w:tcW w:w="986" w:type="pct"/>
            <w:vAlign w:val="center"/>
          </w:tcPr>
          <w:p w14:paraId="0ABA24CE">
            <w:pPr>
              <w:jc w:val="center"/>
              <w:rPr>
                <w:rFonts w:hint="eastAsia" w:ascii="宋体" w:hAnsi="宋体" w:eastAsia="宋体"/>
                <w:color w:val="auto"/>
                <w:sz w:val="24"/>
                <w:highlight w:val="none"/>
              </w:rPr>
            </w:pPr>
          </w:p>
        </w:tc>
        <w:tc>
          <w:tcPr>
            <w:tcW w:w="962" w:type="pct"/>
            <w:vAlign w:val="center"/>
          </w:tcPr>
          <w:p w14:paraId="236AE89D">
            <w:pPr>
              <w:jc w:val="center"/>
              <w:rPr>
                <w:rFonts w:hint="eastAsia" w:ascii="宋体" w:hAnsi="宋体" w:eastAsia="宋体"/>
                <w:color w:val="auto"/>
                <w:sz w:val="24"/>
                <w:highlight w:val="none"/>
              </w:rPr>
            </w:pPr>
          </w:p>
        </w:tc>
      </w:tr>
      <w:tr w14:paraId="7F81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 w:type="pct"/>
            <w:tcBorders>
              <w:bottom w:val="single" w:color="auto" w:sz="4" w:space="0"/>
            </w:tcBorders>
            <w:vAlign w:val="center"/>
          </w:tcPr>
          <w:p w14:paraId="75CC4CA9">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3449" w:type="dxa"/>
            <w:vAlign w:val="top"/>
          </w:tcPr>
          <w:p w14:paraId="382E33D7">
            <w:pPr>
              <w:spacing w:line="360" w:lineRule="auto"/>
              <w:jc w:val="center"/>
              <w:rPr>
                <w:rFonts w:hint="eastAsia" w:ascii="宋体" w:hAnsi="宋体" w:eastAsia="宋体"/>
                <w:color w:val="auto"/>
                <w:sz w:val="24"/>
                <w:highlight w:val="none"/>
                <w:lang w:eastAsia="zh-CN"/>
              </w:rPr>
            </w:pPr>
            <w:r>
              <w:rPr>
                <w:rFonts w:hint="eastAsia" w:ascii="仿宋_GB2312" w:hAnsi="宋体" w:eastAsia="仿宋_GB2312" w:cs="宋体"/>
                <w:color w:val="auto"/>
                <w:sz w:val="28"/>
                <w:szCs w:val="28"/>
                <w:highlight w:val="none"/>
              </w:rPr>
              <w:t>技能训练平台租赁使用费</w:t>
            </w:r>
          </w:p>
        </w:tc>
        <w:tc>
          <w:tcPr>
            <w:tcW w:w="787" w:type="pct"/>
            <w:vAlign w:val="center"/>
          </w:tcPr>
          <w:p w14:paraId="45CD5AFA">
            <w:pPr>
              <w:jc w:val="center"/>
              <w:rPr>
                <w:rFonts w:hint="eastAsia" w:ascii="宋体" w:hAnsi="宋体" w:eastAsia="宋体"/>
                <w:color w:val="auto"/>
                <w:sz w:val="24"/>
                <w:highlight w:val="none"/>
              </w:rPr>
            </w:pPr>
          </w:p>
        </w:tc>
        <w:tc>
          <w:tcPr>
            <w:tcW w:w="986" w:type="pct"/>
            <w:vAlign w:val="center"/>
          </w:tcPr>
          <w:p w14:paraId="6CD25F46">
            <w:pPr>
              <w:jc w:val="center"/>
              <w:rPr>
                <w:rFonts w:hint="eastAsia" w:ascii="宋体" w:hAnsi="宋体" w:eastAsia="宋体"/>
                <w:color w:val="auto"/>
                <w:sz w:val="24"/>
                <w:highlight w:val="none"/>
              </w:rPr>
            </w:pPr>
          </w:p>
        </w:tc>
        <w:tc>
          <w:tcPr>
            <w:tcW w:w="962" w:type="pct"/>
            <w:vAlign w:val="center"/>
          </w:tcPr>
          <w:p w14:paraId="2F945929">
            <w:pPr>
              <w:jc w:val="center"/>
              <w:rPr>
                <w:rFonts w:hint="eastAsia" w:ascii="宋体" w:hAnsi="宋体" w:eastAsia="宋体"/>
                <w:color w:val="auto"/>
                <w:sz w:val="24"/>
                <w:highlight w:val="none"/>
              </w:rPr>
            </w:pPr>
          </w:p>
        </w:tc>
      </w:tr>
      <w:tr w14:paraId="4D72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 w:type="pct"/>
            <w:tcBorders>
              <w:bottom w:val="single" w:color="auto" w:sz="4" w:space="0"/>
            </w:tcBorders>
            <w:vAlign w:val="center"/>
          </w:tcPr>
          <w:p w14:paraId="63C2B137">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3449" w:type="dxa"/>
            <w:vAlign w:val="top"/>
          </w:tcPr>
          <w:p w14:paraId="40423EB4">
            <w:pPr>
              <w:spacing w:line="360" w:lineRule="auto"/>
              <w:jc w:val="center"/>
              <w:rPr>
                <w:rFonts w:hint="eastAsia" w:ascii="宋体" w:hAnsi="宋体" w:eastAsia="宋体"/>
                <w:color w:val="auto"/>
                <w:sz w:val="24"/>
                <w:highlight w:val="none"/>
                <w:lang w:eastAsia="zh-CN"/>
              </w:rPr>
            </w:pPr>
            <w:r>
              <w:rPr>
                <w:rFonts w:hint="eastAsia" w:ascii="仿宋_GB2312" w:hAnsi="宋体" w:eastAsia="仿宋_GB2312" w:cs="宋体"/>
                <w:color w:val="auto"/>
                <w:sz w:val="28"/>
                <w:szCs w:val="28"/>
                <w:highlight w:val="none"/>
              </w:rPr>
              <w:t>定制化技术工具应用</w:t>
            </w:r>
          </w:p>
        </w:tc>
        <w:tc>
          <w:tcPr>
            <w:tcW w:w="787" w:type="pct"/>
            <w:vAlign w:val="center"/>
          </w:tcPr>
          <w:p w14:paraId="77F7A81B">
            <w:pPr>
              <w:jc w:val="center"/>
              <w:rPr>
                <w:rFonts w:hint="eastAsia" w:ascii="宋体" w:hAnsi="宋体" w:eastAsia="宋体"/>
                <w:color w:val="auto"/>
                <w:sz w:val="24"/>
                <w:highlight w:val="none"/>
              </w:rPr>
            </w:pPr>
          </w:p>
        </w:tc>
        <w:tc>
          <w:tcPr>
            <w:tcW w:w="986" w:type="pct"/>
            <w:vAlign w:val="center"/>
          </w:tcPr>
          <w:p w14:paraId="42798DC9">
            <w:pPr>
              <w:jc w:val="center"/>
              <w:rPr>
                <w:rFonts w:hint="eastAsia" w:ascii="宋体" w:hAnsi="宋体" w:eastAsia="宋体"/>
                <w:color w:val="auto"/>
                <w:sz w:val="24"/>
                <w:highlight w:val="none"/>
              </w:rPr>
            </w:pPr>
          </w:p>
        </w:tc>
        <w:tc>
          <w:tcPr>
            <w:tcW w:w="962" w:type="pct"/>
            <w:vAlign w:val="center"/>
          </w:tcPr>
          <w:p w14:paraId="2E6CF9EF">
            <w:pPr>
              <w:jc w:val="center"/>
              <w:rPr>
                <w:rFonts w:hint="eastAsia" w:ascii="宋体" w:hAnsi="宋体" w:eastAsia="宋体"/>
                <w:color w:val="auto"/>
                <w:sz w:val="24"/>
                <w:highlight w:val="none"/>
              </w:rPr>
            </w:pPr>
          </w:p>
        </w:tc>
      </w:tr>
      <w:tr w14:paraId="55A8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 w:type="pct"/>
            <w:tcBorders>
              <w:bottom w:val="single" w:color="auto" w:sz="4" w:space="0"/>
            </w:tcBorders>
            <w:vAlign w:val="center"/>
          </w:tcPr>
          <w:p w14:paraId="0BB19B3E">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3449" w:type="dxa"/>
            <w:vAlign w:val="top"/>
          </w:tcPr>
          <w:p w14:paraId="43E43BE5">
            <w:pPr>
              <w:spacing w:line="360" w:lineRule="auto"/>
              <w:jc w:val="center"/>
              <w:rPr>
                <w:rFonts w:hint="eastAsia" w:ascii="宋体" w:hAnsi="宋体" w:eastAsia="宋体"/>
                <w:color w:val="auto"/>
                <w:sz w:val="24"/>
                <w:highlight w:val="none"/>
                <w:lang w:eastAsia="zh-CN"/>
              </w:rPr>
            </w:pPr>
            <w:r>
              <w:rPr>
                <w:rFonts w:hint="eastAsia" w:ascii="仿宋_GB2312" w:hAnsi="宋体" w:eastAsia="仿宋_GB2312" w:cs="宋体"/>
                <w:color w:val="auto"/>
                <w:sz w:val="28"/>
                <w:szCs w:val="28"/>
                <w:highlight w:val="none"/>
              </w:rPr>
              <w:t>影像剪辑</w:t>
            </w:r>
          </w:p>
        </w:tc>
        <w:tc>
          <w:tcPr>
            <w:tcW w:w="787" w:type="pct"/>
            <w:vAlign w:val="center"/>
          </w:tcPr>
          <w:p w14:paraId="255CA335">
            <w:pPr>
              <w:jc w:val="center"/>
              <w:rPr>
                <w:rFonts w:hint="eastAsia" w:ascii="宋体" w:hAnsi="宋体" w:eastAsia="宋体"/>
                <w:color w:val="auto"/>
                <w:sz w:val="24"/>
                <w:highlight w:val="none"/>
              </w:rPr>
            </w:pPr>
          </w:p>
        </w:tc>
        <w:tc>
          <w:tcPr>
            <w:tcW w:w="986" w:type="pct"/>
            <w:vAlign w:val="center"/>
          </w:tcPr>
          <w:p w14:paraId="3323A476">
            <w:pPr>
              <w:jc w:val="center"/>
              <w:rPr>
                <w:rFonts w:hint="eastAsia" w:ascii="宋体" w:hAnsi="宋体" w:eastAsia="宋体"/>
                <w:color w:val="auto"/>
                <w:sz w:val="24"/>
                <w:highlight w:val="none"/>
              </w:rPr>
            </w:pPr>
          </w:p>
        </w:tc>
        <w:tc>
          <w:tcPr>
            <w:tcW w:w="962" w:type="pct"/>
            <w:vAlign w:val="center"/>
          </w:tcPr>
          <w:p w14:paraId="47FE292F">
            <w:pPr>
              <w:jc w:val="center"/>
              <w:rPr>
                <w:rFonts w:hint="eastAsia" w:ascii="宋体" w:hAnsi="宋体" w:eastAsia="宋体"/>
                <w:color w:val="auto"/>
                <w:sz w:val="24"/>
                <w:highlight w:val="none"/>
              </w:rPr>
            </w:pPr>
          </w:p>
        </w:tc>
      </w:tr>
      <w:tr w14:paraId="1519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 w:type="pct"/>
            <w:tcBorders>
              <w:bottom w:val="single" w:color="auto" w:sz="4" w:space="0"/>
            </w:tcBorders>
            <w:vAlign w:val="center"/>
          </w:tcPr>
          <w:p w14:paraId="360BEC22">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3449" w:type="dxa"/>
            <w:vAlign w:val="top"/>
          </w:tcPr>
          <w:p w14:paraId="0FD900CE">
            <w:pPr>
              <w:spacing w:line="360" w:lineRule="auto"/>
              <w:jc w:val="center"/>
              <w:rPr>
                <w:rFonts w:hint="eastAsia" w:ascii="宋体" w:hAnsi="宋体" w:eastAsia="宋体"/>
                <w:color w:val="auto"/>
                <w:sz w:val="24"/>
                <w:highlight w:val="none"/>
                <w:lang w:eastAsia="zh-CN"/>
              </w:rPr>
            </w:pPr>
            <w:r>
              <w:rPr>
                <w:rFonts w:hint="eastAsia" w:ascii="仿宋_GB2312" w:hAnsi="宋体" w:eastAsia="仿宋_GB2312" w:cs="宋体"/>
                <w:color w:val="auto"/>
                <w:sz w:val="28"/>
                <w:szCs w:val="28"/>
                <w:highlight w:val="none"/>
              </w:rPr>
              <w:t>PPT制作及美化</w:t>
            </w:r>
          </w:p>
        </w:tc>
        <w:tc>
          <w:tcPr>
            <w:tcW w:w="787" w:type="pct"/>
            <w:vAlign w:val="center"/>
          </w:tcPr>
          <w:p w14:paraId="400DB1F3">
            <w:pPr>
              <w:jc w:val="center"/>
              <w:rPr>
                <w:rFonts w:hint="eastAsia" w:ascii="宋体" w:hAnsi="宋体" w:eastAsia="宋体"/>
                <w:color w:val="auto"/>
                <w:sz w:val="24"/>
                <w:highlight w:val="none"/>
              </w:rPr>
            </w:pPr>
          </w:p>
        </w:tc>
        <w:tc>
          <w:tcPr>
            <w:tcW w:w="986" w:type="pct"/>
            <w:vAlign w:val="center"/>
          </w:tcPr>
          <w:p w14:paraId="2A485DD5">
            <w:pPr>
              <w:jc w:val="center"/>
              <w:rPr>
                <w:rFonts w:hint="eastAsia" w:ascii="宋体" w:hAnsi="宋体" w:eastAsia="宋体"/>
                <w:color w:val="auto"/>
                <w:sz w:val="24"/>
                <w:highlight w:val="none"/>
              </w:rPr>
            </w:pPr>
          </w:p>
        </w:tc>
        <w:tc>
          <w:tcPr>
            <w:tcW w:w="962" w:type="pct"/>
            <w:vAlign w:val="center"/>
          </w:tcPr>
          <w:p w14:paraId="4B797F5B">
            <w:pPr>
              <w:jc w:val="center"/>
              <w:rPr>
                <w:rFonts w:hint="eastAsia" w:ascii="宋体" w:hAnsi="宋体" w:eastAsia="宋体"/>
                <w:color w:val="auto"/>
                <w:sz w:val="24"/>
                <w:highlight w:val="none"/>
              </w:rPr>
            </w:pPr>
          </w:p>
        </w:tc>
      </w:tr>
      <w:tr w14:paraId="6DCA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 w:type="pct"/>
            <w:tcBorders>
              <w:bottom w:val="single" w:color="auto" w:sz="4" w:space="0"/>
            </w:tcBorders>
            <w:vAlign w:val="center"/>
          </w:tcPr>
          <w:p w14:paraId="30256CF6">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3449" w:type="dxa"/>
            <w:vAlign w:val="top"/>
          </w:tcPr>
          <w:p w14:paraId="6F6D872B">
            <w:pPr>
              <w:spacing w:line="360" w:lineRule="auto"/>
              <w:jc w:val="center"/>
              <w:rPr>
                <w:rFonts w:hint="eastAsia" w:ascii="宋体" w:hAnsi="宋体" w:eastAsia="宋体"/>
                <w:color w:val="auto"/>
                <w:sz w:val="24"/>
                <w:highlight w:val="none"/>
                <w:lang w:eastAsia="zh-CN"/>
              </w:rPr>
            </w:pPr>
            <w:r>
              <w:rPr>
                <w:rFonts w:hint="eastAsia" w:ascii="仿宋_GB2312" w:hAnsi="宋体" w:eastAsia="仿宋_GB2312" w:cs="宋体"/>
                <w:color w:val="auto"/>
                <w:sz w:val="28"/>
                <w:szCs w:val="28"/>
                <w:highlight w:val="none"/>
              </w:rPr>
              <w:t>专家指导费（含项目方案设计）、培训费</w:t>
            </w:r>
          </w:p>
        </w:tc>
        <w:tc>
          <w:tcPr>
            <w:tcW w:w="787" w:type="pct"/>
            <w:vAlign w:val="center"/>
          </w:tcPr>
          <w:p w14:paraId="54A981AC">
            <w:pPr>
              <w:jc w:val="center"/>
              <w:rPr>
                <w:rFonts w:hint="eastAsia" w:ascii="宋体" w:hAnsi="宋体" w:eastAsia="宋体"/>
                <w:color w:val="auto"/>
                <w:sz w:val="24"/>
                <w:highlight w:val="none"/>
              </w:rPr>
            </w:pPr>
          </w:p>
        </w:tc>
        <w:tc>
          <w:tcPr>
            <w:tcW w:w="986" w:type="pct"/>
            <w:vAlign w:val="center"/>
          </w:tcPr>
          <w:p w14:paraId="016D5D90">
            <w:pPr>
              <w:jc w:val="center"/>
              <w:rPr>
                <w:rFonts w:hint="eastAsia" w:ascii="宋体" w:hAnsi="宋体" w:eastAsia="宋体"/>
                <w:color w:val="auto"/>
                <w:sz w:val="24"/>
                <w:highlight w:val="none"/>
              </w:rPr>
            </w:pPr>
          </w:p>
        </w:tc>
        <w:tc>
          <w:tcPr>
            <w:tcW w:w="962" w:type="pct"/>
            <w:vAlign w:val="center"/>
          </w:tcPr>
          <w:p w14:paraId="66979A83">
            <w:pPr>
              <w:jc w:val="center"/>
              <w:rPr>
                <w:rFonts w:hint="eastAsia" w:ascii="宋体" w:hAnsi="宋体" w:eastAsia="宋体"/>
                <w:color w:val="auto"/>
                <w:sz w:val="24"/>
                <w:highlight w:val="none"/>
              </w:rPr>
            </w:pPr>
          </w:p>
        </w:tc>
      </w:tr>
      <w:tr w14:paraId="50BC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 w:type="pct"/>
            <w:tcBorders>
              <w:bottom w:val="single" w:color="auto" w:sz="4" w:space="0"/>
            </w:tcBorders>
            <w:vAlign w:val="center"/>
          </w:tcPr>
          <w:p w14:paraId="7BDDF235">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3449" w:type="dxa"/>
            <w:vAlign w:val="top"/>
          </w:tcPr>
          <w:p w14:paraId="58E280B4">
            <w:pPr>
              <w:spacing w:line="360" w:lineRule="auto"/>
              <w:rPr>
                <w:rFonts w:hint="eastAsia" w:ascii="宋体" w:hAnsi="宋体" w:eastAsia="宋体"/>
                <w:color w:val="auto"/>
                <w:sz w:val="24"/>
                <w:highlight w:val="none"/>
                <w:lang w:eastAsia="zh-CN"/>
              </w:rPr>
            </w:pPr>
            <w:r>
              <w:rPr>
                <w:rFonts w:hint="eastAsia" w:ascii="仿宋_GB2312" w:hAnsi="宋体" w:eastAsia="仿宋_GB2312" w:cs="宋体"/>
                <w:color w:val="auto"/>
                <w:sz w:val="28"/>
                <w:szCs w:val="28"/>
                <w:highlight w:val="none"/>
              </w:rPr>
              <w:t xml:space="preserve">     技术服务费</w:t>
            </w:r>
          </w:p>
        </w:tc>
        <w:tc>
          <w:tcPr>
            <w:tcW w:w="787" w:type="pct"/>
            <w:vAlign w:val="center"/>
          </w:tcPr>
          <w:p w14:paraId="5AB87DF8">
            <w:pPr>
              <w:jc w:val="center"/>
              <w:rPr>
                <w:rFonts w:hint="eastAsia" w:ascii="宋体" w:hAnsi="宋体" w:eastAsia="宋体"/>
                <w:color w:val="auto"/>
                <w:sz w:val="24"/>
                <w:highlight w:val="none"/>
              </w:rPr>
            </w:pPr>
          </w:p>
        </w:tc>
        <w:tc>
          <w:tcPr>
            <w:tcW w:w="986" w:type="pct"/>
            <w:vAlign w:val="center"/>
          </w:tcPr>
          <w:p w14:paraId="4F03E6C2">
            <w:pPr>
              <w:jc w:val="center"/>
              <w:rPr>
                <w:rFonts w:hint="eastAsia" w:ascii="宋体" w:hAnsi="宋体" w:eastAsia="宋体"/>
                <w:color w:val="auto"/>
                <w:sz w:val="24"/>
                <w:highlight w:val="none"/>
              </w:rPr>
            </w:pPr>
          </w:p>
        </w:tc>
        <w:tc>
          <w:tcPr>
            <w:tcW w:w="962" w:type="pct"/>
            <w:vAlign w:val="center"/>
          </w:tcPr>
          <w:p w14:paraId="18E03379">
            <w:pPr>
              <w:jc w:val="center"/>
              <w:rPr>
                <w:rFonts w:hint="eastAsia" w:ascii="宋体" w:hAnsi="宋体" w:eastAsia="宋体"/>
                <w:color w:val="auto"/>
                <w:sz w:val="24"/>
                <w:highlight w:val="none"/>
              </w:rPr>
            </w:pPr>
          </w:p>
        </w:tc>
      </w:tr>
      <w:tr w14:paraId="1BB1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 w:type="pct"/>
            <w:tcBorders>
              <w:bottom w:val="single" w:color="auto" w:sz="4" w:space="0"/>
            </w:tcBorders>
            <w:vAlign w:val="center"/>
          </w:tcPr>
          <w:p w14:paraId="616D1A70">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w:t>
            </w:r>
          </w:p>
        </w:tc>
        <w:tc>
          <w:tcPr>
            <w:tcW w:w="3449" w:type="dxa"/>
            <w:vAlign w:val="top"/>
          </w:tcPr>
          <w:p w14:paraId="7150A34D">
            <w:pPr>
              <w:spacing w:line="360" w:lineRule="auto"/>
              <w:ind w:firstLine="560" w:firstLineChars="200"/>
              <w:rPr>
                <w:rFonts w:hint="default" w:ascii="仿宋_GB2312" w:hAnsi="宋体" w:eastAsia="仿宋_GB2312" w:cs="宋体"/>
                <w:color w:val="auto"/>
                <w:sz w:val="28"/>
                <w:szCs w:val="28"/>
                <w:highlight w:val="none"/>
                <w:lang w:val="en-US" w:eastAsia="zh-CN"/>
              </w:rPr>
            </w:pPr>
            <w:r>
              <w:rPr>
                <w:rFonts w:hint="eastAsia" w:ascii="仿宋_GB2312" w:hAnsi="宋体" w:eastAsia="仿宋_GB2312" w:cs="宋体"/>
                <w:color w:val="auto"/>
                <w:sz w:val="28"/>
                <w:szCs w:val="28"/>
                <w:highlight w:val="none"/>
                <w:lang w:val="en-US" w:eastAsia="zh-CN"/>
              </w:rPr>
              <w:t>其他费用（如有）</w:t>
            </w:r>
          </w:p>
        </w:tc>
        <w:tc>
          <w:tcPr>
            <w:tcW w:w="787" w:type="pct"/>
            <w:vAlign w:val="center"/>
          </w:tcPr>
          <w:p w14:paraId="45830D1A">
            <w:pPr>
              <w:jc w:val="center"/>
              <w:rPr>
                <w:rFonts w:hint="eastAsia" w:ascii="宋体" w:hAnsi="宋体" w:eastAsia="宋体"/>
                <w:color w:val="auto"/>
                <w:sz w:val="24"/>
                <w:highlight w:val="none"/>
              </w:rPr>
            </w:pPr>
          </w:p>
        </w:tc>
        <w:tc>
          <w:tcPr>
            <w:tcW w:w="986" w:type="pct"/>
            <w:vAlign w:val="center"/>
          </w:tcPr>
          <w:p w14:paraId="0C96B17B">
            <w:pPr>
              <w:jc w:val="center"/>
              <w:rPr>
                <w:rFonts w:hint="eastAsia" w:ascii="宋体" w:hAnsi="宋体" w:eastAsia="宋体"/>
                <w:color w:val="auto"/>
                <w:sz w:val="24"/>
                <w:highlight w:val="none"/>
              </w:rPr>
            </w:pPr>
          </w:p>
        </w:tc>
        <w:tc>
          <w:tcPr>
            <w:tcW w:w="962" w:type="pct"/>
            <w:vAlign w:val="center"/>
          </w:tcPr>
          <w:p w14:paraId="7E02A96D">
            <w:pPr>
              <w:jc w:val="center"/>
              <w:rPr>
                <w:rFonts w:hint="eastAsia" w:ascii="宋体" w:hAnsi="宋体" w:eastAsia="宋体"/>
                <w:color w:val="auto"/>
                <w:sz w:val="24"/>
                <w:highlight w:val="none"/>
              </w:rPr>
            </w:pPr>
          </w:p>
        </w:tc>
      </w:tr>
      <w:tr w14:paraId="1DBD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37" w:type="pct"/>
            <w:gridSpan w:val="4"/>
            <w:vAlign w:val="center"/>
          </w:tcPr>
          <w:p w14:paraId="6F20B07A">
            <w:pPr>
              <w:jc w:val="center"/>
              <w:rPr>
                <w:rFonts w:hint="eastAsia" w:ascii="宋体" w:hAnsi="宋体" w:eastAsia="宋体"/>
                <w:color w:val="auto"/>
                <w:sz w:val="24"/>
                <w:highlight w:val="none"/>
              </w:rPr>
            </w:pPr>
            <w:r>
              <w:rPr>
                <w:rFonts w:hint="eastAsia" w:ascii="宋体" w:hAnsi="宋体" w:eastAsia="宋体"/>
                <w:b/>
                <w:color w:val="auto"/>
                <w:sz w:val="24"/>
                <w:highlight w:val="none"/>
              </w:rPr>
              <w:t>合计金额（元）</w:t>
            </w:r>
          </w:p>
        </w:tc>
        <w:tc>
          <w:tcPr>
            <w:tcW w:w="962" w:type="pct"/>
            <w:vAlign w:val="center"/>
          </w:tcPr>
          <w:p w14:paraId="19ADF5C2">
            <w:pPr>
              <w:jc w:val="center"/>
              <w:rPr>
                <w:rFonts w:hint="eastAsia" w:ascii="宋体" w:hAnsi="宋体" w:eastAsia="宋体"/>
                <w:color w:val="auto"/>
                <w:sz w:val="24"/>
                <w:highlight w:val="none"/>
              </w:rPr>
            </w:pPr>
          </w:p>
        </w:tc>
      </w:tr>
    </w:tbl>
    <w:p w14:paraId="08911F9D">
      <w:pPr>
        <w:spacing w:line="360" w:lineRule="auto"/>
        <w:ind w:firstLine="4800" w:firstLineChars="2000"/>
        <w:rPr>
          <w:rFonts w:hint="eastAsia" w:ascii="宋体" w:hAnsi="宋体" w:eastAsia="宋体"/>
          <w:color w:val="auto"/>
          <w:sz w:val="24"/>
          <w:highlight w:val="none"/>
        </w:rPr>
      </w:pPr>
      <w:r>
        <w:rPr>
          <w:rFonts w:hint="eastAsia" w:ascii="宋体" w:hAnsi="宋体" w:eastAsia="宋体"/>
          <w:color w:val="auto"/>
          <w:sz w:val="24"/>
          <w:highlight w:val="none"/>
        </w:rPr>
        <w:t>供应商公章：</w:t>
      </w:r>
      <w:r>
        <w:rPr>
          <w:rFonts w:hint="eastAsia" w:ascii="宋体" w:hAnsi="宋体" w:eastAsia="宋体"/>
          <w:color w:val="auto"/>
          <w:sz w:val="24"/>
          <w:highlight w:val="none"/>
          <w:u w:val="single"/>
        </w:rPr>
        <w:t xml:space="preserve">             </w:t>
      </w:r>
    </w:p>
    <w:p w14:paraId="10A7E3BC">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DA9EE86">
      <w:pPr>
        <w:adjustRightInd w:val="0"/>
        <w:snapToGrid w:val="0"/>
        <w:spacing w:line="360" w:lineRule="auto"/>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4CED894">
      <w:pPr>
        <w:adjustRightInd w:val="0"/>
        <w:snapToGrid w:val="0"/>
        <w:spacing w:line="360" w:lineRule="auto"/>
        <w:ind w:firstLine="482" w:firstLineChars="20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另：专家及公司所派人员交通及食宿费用自理。</w:t>
      </w:r>
    </w:p>
    <w:p w14:paraId="2FF725B6">
      <w:pPr>
        <w:adjustRightInd w:val="0"/>
        <w:snapToGrid w:val="0"/>
        <w:spacing w:line="360" w:lineRule="auto"/>
        <w:ind w:firstLine="482" w:firstLineChars="20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11DB2ABB">
      <w:pPr>
        <w:widowControl/>
        <w:jc w:val="left"/>
        <w:rPr>
          <w:rFonts w:hint="eastAsia"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0D9ECE2A">
      <w:pPr>
        <w:spacing w:line="360" w:lineRule="auto"/>
        <w:jc w:val="center"/>
        <w:outlineLvl w:val="1"/>
        <w:rPr>
          <w:rFonts w:hint="eastAsia" w:asciiTheme="minorEastAsia" w:hAnsiTheme="minorEastAsia" w:eastAsiaTheme="minorEastAsia"/>
          <w:b/>
          <w:color w:val="auto"/>
          <w:sz w:val="24"/>
          <w:highlight w:val="none"/>
        </w:rPr>
      </w:pPr>
      <w:bookmarkStart w:id="234" w:name="_Toc461053087"/>
      <w:bookmarkStart w:id="235" w:name="_Toc461056632"/>
      <w:bookmarkStart w:id="236" w:name="_Toc32436"/>
      <w:bookmarkStart w:id="237" w:name="_Toc520983588"/>
      <w:bookmarkStart w:id="238" w:name="_Toc28695"/>
      <w:r>
        <w:rPr>
          <w:rFonts w:hint="eastAsia" w:asciiTheme="minorEastAsia" w:hAnsiTheme="minorEastAsia" w:eastAsiaTheme="minorEastAsia"/>
          <w:b/>
          <w:color w:val="auto"/>
          <w:sz w:val="24"/>
          <w:highlight w:val="none"/>
        </w:rPr>
        <w:t>二</w:t>
      </w:r>
      <w:bookmarkEnd w:id="234"/>
      <w:bookmarkEnd w:id="235"/>
      <w:r>
        <w:rPr>
          <w:rFonts w:hint="eastAsia" w:asciiTheme="minorEastAsia" w:hAnsiTheme="minorEastAsia" w:eastAsiaTheme="minorEastAsia"/>
          <w:b/>
          <w:color w:val="auto"/>
          <w:sz w:val="24"/>
          <w:highlight w:val="none"/>
        </w:rPr>
        <w:t>、最后承诺报价表</w:t>
      </w:r>
      <w:bookmarkEnd w:id="236"/>
      <w:bookmarkEnd w:id="237"/>
      <w:bookmarkEnd w:id="238"/>
    </w:p>
    <w:p w14:paraId="1E1781E7">
      <w:pPr>
        <w:spacing w:before="156" w:beforeLines="50" w:after="156" w:afterLines="50" w:line="360" w:lineRule="auto"/>
        <w:ind w:firstLine="236" w:firstLineChars="98"/>
        <w:jc w:val="center"/>
        <w:rPr>
          <w:rFonts w:hint="eastAsia"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二 </w:t>
      </w:r>
      <w:r>
        <w:rPr>
          <w:rFonts w:hint="eastAsia" w:ascii="宋体" w:hAnsi="宋体" w:eastAsia="宋体"/>
          <w:b/>
          <w:color w:val="auto"/>
          <w:sz w:val="24"/>
          <w:szCs w:val="28"/>
          <w:highlight w:val="none"/>
        </w:rPr>
        <w:t>次报价书）</w:t>
      </w:r>
    </w:p>
    <w:p w14:paraId="4673B8E1">
      <w:pPr>
        <w:snapToGrid w:val="0"/>
        <w:spacing w:line="360" w:lineRule="auto"/>
        <w:jc w:val="left"/>
        <w:rPr>
          <w:rFonts w:hint="eastAsia"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9"/>
        <w:gridCol w:w="6727"/>
      </w:tblGrid>
      <w:tr w14:paraId="24FC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4A8D61C">
            <w:pPr>
              <w:spacing w:line="360" w:lineRule="auto"/>
              <w:jc w:val="center"/>
              <w:rPr>
                <w:rFonts w:hint="eastAsia"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34BE2C23">
            <w:pPr>
              <w:spacing w:line="360" w:lineRule="auto"/>
              <w:rPr>
                <w:rFonts w:hint="eastAsia" w:ascii="宋体" w:hAnsi="宋体" w:eastAsia="宋体"/>
                <w:b/>
                <w:color w:val="auto"/>
                <w:sz w:val="24"/>
                <w:highlight w:val="none"/>
              </w:rPr>
            </w:pPr>
          </w:p>
        </w:tc>
      </w:tr>
      <w:tr w14:paraId="61D8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8205901">
            <w:pPr>
              <w:spacing w:line="360" w:lineRule="exact"/>
              <w:jc w:val="center"/>
              <w:rPr>
                <w:rFonts w:hint="eastAsia" w:ascii="宋体" w:hAnsi="宋体" w:eastAsia="宋体"/>
                <w:b/>
                <w:color w:val="auto"/>
                <w:sz w:val="24"/>
                <w:highlight w:val="none"/>
              </w:rPr>
            </w:pPr>
            <w:r>
              <w:rPr>
                <w:rFonts w:hint="eastAsia" w:ascii="宋体" w:hAnsi="宋体" w:eastAsia="宋体"/>
                <w:b/>
                <w:bCs/>
                <w:color w:val="auto"/>
                <w:sz w:val="24"/>
                <w:szCs w:val="28"/>
                <w:highlight w:val="none"/>
                <w:lang w:eastAsia="zh-CN"/>
              </w:rPr>
              <w:t>谈判</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17BB65E7">
            <w:pPr>
              <w:widowControl/>
              <w:spacing w:line="360" w:lineRule="exact"/>
              <w:rPr>
                <w:rFonts w:hint="eastAsia"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024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BA45534">
            <w:pPr>
              <w:spacing w:line="360" w:lineRule="auto"/>
              <w:jc w:val="center"/>
              <w:rPr>
                <w:rFonts w:hint="eastAsia"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1A1667CF">
            <w:pPr>
              <w:spacing w:line="360" w:lineRule="auto"/>
              <w:jc w:val="center"/>
              <w:rPr>
                <w:rFonts w:hint="eastAsia"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6CAF138E">
            <w:pPr>
              <w:snapToGrid w:val="0"/>
              <w:spacing w:line="360" w:lineRule="auto"/>
              <w:rPr>
                <w:rFonts w:hint="eastAsia" w:ascii="宋体" w:hAnsi="宋体" w:eastAsia="宋体"/>
                <w:color w:val="auto"/>
                <w:sz w:val="24"/>
                <w:szCs w:val="28"/>
                <w:highlight w:val="none"/>
              </w:rPr>
            </w:pPr>
          </w:p>
          <w:p w14:paraId="4F097D9A">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p w14:paraId="7411F7D4">
            <w:pPr>
              <w:spacing w:line="360" w:lineRule="auto"/>
              <w:ind w:right="-670"/>
              <w:rPr>
                <w:rFonts w:hint="eastAsia" w:ascii="宋体" w:hAnsi="宋体" w:eastAsia="宋体"/>
                <w:b/>
                <w:color w:val="auto"/>
                <w:sz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p>
        </w:tc>
      </w:tr>
      <w:tr w14:paraId="0E4D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1443" w:type="pct"/>
            <w:vAlign w:val="center"/>
          </w:tcPr>
          <w:p w14:paraId="6447F055">
            <w:pPr>
              <w:spacing w:line="360" w:lineRule="auto"/>
              <w:jc w:val="center"/>
              <w:rPr>
                <w:rFonts w:hint="eastAsia"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1566B40D">
            <w:pPr>
              <w:spacing w:line="360" w:lineRule="auto"/>
              <w:rPr>
                <w:rFonts w:hint="eastAsia" w:ascii="宋体" w:hAnsi="宋体" w:eastAsia="宋体"/>
                <w:b/>
                <w:color w:val="auto"/>
                <w:sz w:val="24"/>
                <w:highlight w:val="none"/>
              </w:rPr>
            </w:pPr>
            <w:r>
              <w:rPr>
                <w:rFonts w:hint="eastAsia" w:ascii="宋体" w:hAnsi="宋体" w:eastAsia="宋体"/>
                <w:b/>
                <w:i/>
                <w:color w:val="auto"/>
                <w:sz w:val="24"/>
                <w:highlight w:val="none"/>
              </w:rPr>
              <w:t>（此处可补充</w:t>
            </w:r>
            <w:r>
              <w:rPr>
                <w:rFonts w:hint="eastAsia" w:ascii="宋体" w:hAnsi="宋体" w:eastAsia="宋体"/>
                <w:b/>
                <w:i/>
                <w:color w:val="auto"/>
                <w:sz w:val="24"/>
                <w:highlight w:val="none"/>
                <w:lang w:eastAsia="zh-CN"/>
              </w:rPr>
              <w:t>谈判</w:t>
            </w:r>
            <w:r>
              <w:rPr>
                <w:rFonts w:hint="eastAsia" w:ascii="宋体" w:hAnsi="宋体" w:eastAsia="宋体"/>
                <w:b/>
                <w:i/>
                <w:color w:val="auto"/>
                <w:sz w:val="24"/>
                <w:highlight w:val="none"/>
              </w:rPr>
              <w:t>小组根据与供应商</w:t>
            </w:r>
            <w:r>
              <w:rPr>
                <w:rFonts w:hint="eastAsia" w:ascii="宋体" w:hAnsi="宋体" w:eastAsia="宋体"/>
                <w:b/>
                <w:i/>
                <w:color w:val="auto"/>
                <w:sz w:val="24"/>
                <w:highlight w:val="none"/>
                <w:lang w:eastAsia="zh-CN"/>
              </w:rPr>
              <w:t>谈判</w:t>
            </w:r>
            <w:r>
              <w:rPr>
                <w:rFonts w:hint="eastAsia" w:ascii="宋体" w:hAnsi="宋体" w:eastAsia="宋体"/>
                <w:b/>
                <w:i/>
                <w:color w:val="auto"/>
                <w:sz w:val="24"/>
                <w:highlight w:val="none"/>
              </w:rPr>
              <w:t>情况变动的</w:t>
            </w:r>
            <w:r>
              <w:rPr>
                <w:rFonts w:hint="eastAsia" w:ascii="宋体" w:hAnsi="宋体" w:eastAsia="宋体"/>
                <w:b/>
                <w:i/>
                <w:color w:val="auto"/>
                <w:sz w:val="24"/>
                <w:highlight w:val="none"/>
                <w:lang w:eastAsia="zh-CN"/>
              </w:rPr>
              <w:t>谈判</w:t>
            </w:r>
            <w:r>
              <w:rPr>
                <w:rFonts w:hint="eastAsia" w:ascii="宋体" w:hAnsi="宋体" w:eastAsia="宋体"/>
                <w:b/>
                <w:i/>
                <w:color w:val="auto"/>
                <w:sz w:val="24"/>
                <w:highlight w:val="none"/>
              </w:rPr>
              <w:t>文件的内容，包括采购需求中的技术、服务要求以及合同草案条款。）</w:t>
            </w:r>
          </w:p>
        </w:tc>
      </w:tr>
      <w:tr w14:paraId="3BB0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00953195">
            <w:pPr>
              <w:spacing w:line="360" w:lineRule="auto"/>
              <w:jc w:val="center"/>
              <w:rPr>
                <w:rFonts w:hint="eastAsia" w:ascii="宋体" w:hAnsi="宋体" w:eastAsia="宋体"/>
                <w:b/>
                <w:color w:val="auto"/>
                <w:sz w:val="24"/>
                <w:highlight w:val="none"/>
              </w:rPr>
            </w:pPr>
            <w:r>
              <w:rPr>
                <w:rFonts w:hint="eastAsia" w:ascii="宋体" w:hAnsi="宋体" w:eastAsia="宋体"/>
                <w:b/>
                <w:bCs/>
                <w:color w:val="auto"/>
                <w:sz w:val="24"/>
                <w:szCs w:val="28"/>
                <w:highlight w:val="none"/>
                <w:lang w:eastAsia="zh-CN"/>
              </w:rPr>
              <w:t>谈判</w:t>
            </w:r>
            <w:r>
              <w:rPr>
                <w:rFonts w:hint="eastAsia" w:ascii="宋体" w:hAnsi="宋体" w:eastAsia="宋体"/>
                <w:b/>
                <w:bCs/>
                <w:color w:val="auto"/>
                <w:sz w:val="24"/>
                <w:szCs w:val="28"/>
                <w:highlight w:val="none"/>
              </w:rPr>
              <w:t>小组</w:t>
            </w:r>
            <w:r>
              <w:rPr>
                <w:rFonts w:ascii="宋体" w:hAnsi="宋体" w:eastAsia="宋体"/>
                <w:b/>
                <w:bCs/>
                <w:color w:val="auto"/>
                <w:sz w:val="24"/>
                <w:szCs w:val="28"/>
                <w:highlight w:val="none"/>
              </w:rPr>
              <w:t>签字</w:t>
            </w:r>
          </w:p>
        </w:tc>
        <w:tc>
          <w:tcPr>
            <w:tcW w:w="3557" w:type="pct"/>
          </w:tcPr>
          <w:p w14:paraId="3CB9C6EB">
            <w:pPr>
              <w:spacing w:line="360" w:lineRule="auto"/>
              <w:rPr>
                <w:rFonts w:hint="eastAsia" w:ascii="宋体" w:hAnsi="宋体" w:eastAsia="宋体"/>
                <w:b/>
                <w:color w:val="auto"/>
                <w:sz w:val="24"/>
                <w:highlight w:val="none"/>
              </w:rPr>
            </w:pPr>
          </w:p>
        </w:tc>
      </w:tr>
    </w:tbl>
    <w:p w14:paraId="22A8F3FF">
      <w:pPr>
        <w:spacing w:line="360" w:lineRule="auto"/>
        <w:ind w:firstLine="3600" w:firstLineChars="1500"/>
        <w:jc w:val="left"/>
        <w:rPr>
          <w:rFonts w:hint="eastAsia"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3758B6A1">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3AF40D7">
      <w:pPr>
        <w:spacing w:line="360" w:lineRule="auto"/>
        <w:jc w:val="left"/>
        <w:rPr>
          <w:rFonts w:hint="eastAsia" w:ascii="宋体" w:hAnsi="宋体" w:eastAsia="宋体"/>
          <w:b/>
          <w:bCs/>
          <w:color w:val="auto"/>
          <w:sz w:val="24"/>
          <w:highlight w:val="none"/>
        </w:rPr>
      </w:pPr>
      <w:r>
        <w:rPr>
          <w:rFonts w:hint="eastAsia" w:ascii="宋体" w:hAnsi="宋体" w:eastAsia="宋体"/>
          <w:b/>
          <w:bCs/>
          <w:color w:val="auto"/>
          <w:sz w:val="24"/>
          <w:highlight w:val="none"/>
        </w:rPr>
        <w:t>注：</w:t>
      </w:r>
    </w:p>
    <w:p w14:paraId="09457199">
      <w:pPr>
        <w:pStyle w:val="18"/>
        <w:widowControl/>
        <w:overflowPunct w:val="0"/>
        <w:spacing w:line="240" w:lineRule="auto"/>
        <w:jc w:val="both"/>
        <w:outlineLvl w:val="9"/>
        <w:rPr>
          <w:rFonts w:ascii="Times New Roman" w:hAnsi="Times New Roman"/>
          <w:color w:val="auto"/>
          <w:sz w:val="21"/>
          <w:szCs w:val="21"/>
          <w:highlight w:val="none"/>
        </w:rPr>
      </w:pPr>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rPr>
        <w:t>本页《报价表》由供应商在接到报价通知后依据</w:t>
      </w:r>
      <w:r>
        <w:rPr>
          <w:rFonts w:hint="eastAsia" w:ascii="宋体" w:hAnsi="宋体" w:eastAsia="宋体"/>
          <w:b/>
          <w:bCs/>
          <w:color w:val="auto"/>
          <w:sz w:val="24"/>
          <w:highlight w:val="none"/>
          <w:lang w:eastAsia="zh-CN"/>
        </w:rPr>
        <w:t>谈判</w:t>
      </w:r>
      <w:r>
        <w:rPr>
          <w:rFonts w:hint="eastAsia" w:ascii="宋体" w:hAnsi="宋体" w:eastAsia="宋体"/>
          <w:b/>
          <w:bCs/>
          <w:color w:val="auto"/>
          <w:sz w:val="24"/>
          <w:highlight w:val="none"/>
        </w:rPr>
        <w:t>情况填写,并在规定时间内提交。</w:t>
      </w:r>
    </w:p>
    <w:p w14:paraId="250C2F40">
      <w:pPr>
        <w:pStyle w:val="18"/>
        <w:widowControl/>
        <w:overflowPunct w:val="0"/>
        <w:spacing w:line="240" w:lineRule="auto"/>
        <w:jc w:val="both"/>
        <w:outlineLvl w:val="9"/>
        <w:rPr>
          <w:rFonts w:hint="eastAsia" w:ascii="宋体" w:hAnsi="宋体" w:eastAsia="宋体"/>
          <w:b/>
          <w:bCs/>
          <w:color w:val="auto"/>
          <w:sz w:val="24"/>
          <w:highlight w:val="none"/>
        </w:rPr>
      </w:pPr>
      <w:r>
        <w:rPr>
          <w:rFonts w:hint="eastAsia" w:ascii="宋体" w:hAnsi="宋体" w:eastAsia="宋体"/>
          <w:b/>
          <w:bCs/>
          <w:color w:val="auto"/>
          <w:sz w:val="24"/>
          <w:highlight w:val="none"/>
        </w:rPr>
        <w:t>2</w:t>
      </w:r>
      <w:r>
        <w:rPr>
          <w:rFonts w:hint="eastAsia" w:ascii="宋体" w:hAnsi="宋体" w:eastAsia="宋体"/>
          <w:b/>
          <w:bCs/>
          <w:color w:val="auto"/>
          <w:sz w:val="24"/>
          <w:highlight w:val="none"/>
          <w:lang w:eastAsia="zh-CN"/>
        </w:rPr>
        <w:t>、</w:t>
      </w:r>
      <w:r>
        <w:rPr>
          <w:rFonts w:hint="eastAsia" w:ascii="宋体" w:hAnsi="宋体" w:eastAsia="宋体"/>
          <w:b/>
          <w:bCs/>
          <w:color w:val="auto"/>
          <w:sz w:val="24"/>
          <w:highlight w:val="none"/>
        </w:rPr>
        <w:t>最终报价只需报总价，原响应文件中各项单价按照最终总报价下浮比例同比例下浮。</w:t>
      </w:r>
    </w:p>
    <w:p w14:paraId="2F4C45E5">
      <w:pPr>
        <w:pStyle w:val="18"/>
        <w:widowControl/>
        <w:overflowPunct w:val="0"/>
        <w:spacing w:line="240" w:lineRule="auto"/>
        <w:jc w:val="both"/>
        <w:outlineLvl w:val="9"/>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3、</w:t>
      </w:r>
      <w:r>
        <w:rPr>
          <w:rFonts w:hint="eastAsia" w:ascii="宋体" w:hAnsi="宋体" w:eastAsia="宋体"/>
          <w:b/>
          <w:bCs/>
          <w:color w:val="auto"/>
          <w:sz w:val="24"/>
          <w:highlight w:val="none"/>
        </w:rPr>
        <w:t>表中大写金额与小写金额不一致的，以大写金额为准。</w:t>
      </w:r>
    </w:p>
    <w:p w14:paraId="0297F73C">
      <w:pPr>
        <w:pStyle w:val="21"/>
        <w:ind w:firstLine="241"/>
        <w:rPr>
          <w:rFonts w:hint="eastAsia" w:ascii="宋体" w:hAnsi="宋体" w:eastAsia="宋体"/>
          <w:b/>
          <w:bCs/>
          <w:color w:val="auto"/>
          <w:sz w:val="24"/>
          <w:szCs w:val="28"/>
          <w:highlight w:val="none"/>
        </w:rPr>
      </w:pPr>
    </w:p>
    <w:p w14:paraId="1E4CFBC5">
      <w:pPr>
        <w:pStyle w:val="21"/>
        <w:ind w:firstLine="321"/>
        <w:jc w:val="center"/>
        <w:rPr>
          <w:rFonts w:hint="eastAsia" w:eastAsia="宋体"/>
          <w:color w:val="auto"/>
          <w:sz w:val="32"/>
          <w:szCs w:val="32"/>
          <w:highlight w:val="none"/>
        </w:rPr>
      </w:pPr>
      <w:r>
        <w:rPr>
          <w:rFonts w:hint="eastAsia" w:ascii="宋体" w:hAnsi="宋体" w:eastAsia="宋体"/>
          <w:b/>
          <w:bCs/>
          <w:color w:val="auto"/>
          <w:sz w:val="32"/>
          <w:szCs w:val="32"/>
          <w:highlight w:val="none"/>
        </w:rPr>
        <w:t>（</w:t>
      </w:r>
      <w:r>
        <w:rPr>
          <w:rFonts w:hint="eastAsia" w:ascii="宋体" w:hAnsi="宋体" w:eastAsia="宋体"/>
          <w:b/>
          <w:bCs/>
          <w:color w:val="auto"/>
          <w:sz w:val="32"/>
          <w:szCs w:val="32"/>
          <w:highlight w:val="none"/>
          <w:lang w:val="en-US" w:eastAsia="zh-CN"/>
        </w:rPr>
        <w:t>二次报价时使用</w:t>
      </w:r>
      <w:r>
        <w:rPr>
          <w:rFonts w:hint="eastAsia" w:ascii="宋体" w:hAnsi="宋体" w:eastAsia="宋体"/>
          <w:b/>
          <w:bCs/>
          <w:color w:val="auto"/>
          <w:sz w:val="32"/>
          <w:szCs w:val="32"/>
          <w:highlight w:val="none"/>
        </w:rPr>
        <w:t>）</w:t>
      </w:r>
    </w:p>
    <w:p w14:paraId="0C5E9F55">
      <w:pPr>
        <w:widowControl/>
        <w:jc w:val="left"/>
        <w:rPr>
          <w:rFonts w:hint="eastAsia" w:ascii="宋体" w:hAnsi="宋体" w:eastAsia="宋体"/>
          <w:bCs/>
          <w:color w:val="auto"/>
          <w:sz w:val="24"/>
          <w:highlight w:val="none"/>
        </w:rPr>
      </w:pPr>
      <w:r>
        <w:rPr>
          <w:rFonts w:ascii="宋体" w:hAnsi="宋体" w:eastAsia="宋体"/>
          <w:bCs/>
          <w:color w:val="auto"/>
          <w:sz w:val="24"/>
          <w:highlight w:val="none"/>
        </w:rPr>
        <w:br w:type="page"/>
      </w:r>
    </w:p>
    <w:p w14:paraId="66DA2D79">
      <w:pPr>
        <w:spacing w:line="360" w:lineRule="auto"/>
        <w:jc w:val="center"/>
        <w:outlineLvl w:val="1"/>
        <w:rPr>
          <w:rFonts w:hint="eastAsia" w:asciiTheme="minorEastAsia" w:hAnsiTheme="minorEastAsia" w:eastAsiaTheme="minorEastAsia"/>
          <w:b/>
          <w:color w:val="auto"/>
          <w:sz w:val="24"/>
          <w:highlight w:val="none"/>
        </w:rPr>
      </w:pPr>
      <w:bookmarkStart w:id="239" w:name="_Toc32385"/>
      <w:bookmarkStart w:id="240" w:name="_Toc520983591"/>
      <w:bookmarkStart w:id="241" w:name="_Toc11500"/>
      <w:r>
        <w:rPr>
          <w:rFonts w:hint="eastAsia" w:asciiTheme="minorEastAsia" w:hAnsiTheme="minorEastAsia" w:eastAsiaTheme="minorEastAsia"/>
          <w:b/>
          <w:color w:val="auto"/>
          <w:sz w:val="24"/>
          <w:highlight w:val="none"/>
        </w:rPr>
        <w:t>三、</w:t>
      </w:r>
      <w:r>
        <w:rPr>
          <w:rFonts w:hint="eastAsia" w:asciiTheme="minorEastAsia" w:hAnsiTheme="minorEastAsia" w:eastAsiaTheme="minorEastAsia"/>
          <w:b/>
          <w:color w:val="auto"/>
          <w:sz w:val="24"/>
          <w:highlight w:val="none"/>
          <w:lang w:eastAsia="zh-CN"/>
        </w:rPr>
        <w:t>谈判</w:t>
      </w:r>
      <w:r>
        <w:rPr>
          <w:rFonts w:hint="eastAsia" w:asciiTheme="minorEastAsia" w:hAnsiTheme="minorEastAsia" w:eastAsiaTheme="minorEastAsia"/>
          <w:b/>
          <w:color w:val="auto"/>
          <w:sz w:val="24"/>
          <w:highlight w:val="none"/>
        </w:rPr>
        <w:t>响应函</w:t>
      </w:r>
      <w:bookmarkEnd w:id="239"/>
      <w:bookmarkEnd w:id="240"/>
      <w:bookmarkEnd w:id="241"/>
    </w:p>
    <w:p w14:paraId="5BC244FF">
      <w:pPr>
        <w:pStyle w:val="12"/>
        <w:spacing w:line="360" w:lineRule="auto"/>
        <w:rPr>
          <w:rFonts w:hint="eastAsia" w:ascii="宋体" w:hAnsi="宋体"/>
          <w:color w:val="auto"/>
          <w:sz w:val="24"/>
          <w:highlight w:val="none"/>
        </w:rPr>
      </w:pPr>
      <w:r>
        <w:rPr>
          <w:rFonts w:hint="eastAsia" w:ascii="宋体" w:hAnsi="宋体"/>
          <w:color w:val="auto"/>
          <w:sz w:val="24"/>
          <w:highlight w:val="none"/>
        </w:rPr>
        <w:t>致：采购人</w:t>
      </w:r>
    </w:p>
    <w:p w14:paraId="426A6A13">
      <w:pPr>
        <w:spacing w:line="360" w:lineRule="auto"/>
        <w:ind w:firstLine="480" w:firstLineChars="200"/>
        <w:rPr>
          <w:rFonts w:hint="eastAsia" w:ascii="宋体" w:hAnsi="宋体" w:eastAsia="宋体"/>
          <w:dstrike/>
          <w:color w:val="auto"/>
          <w:sz w:val="24"/>
          <w:highlight w:val="none"/>
        </w:rPr>
      </w:pPr>
      <w:r>
        <w:rPr>
          <w:rFonts w:hint="eastAsia" w:ascii="宋体" w:hAnsi="宋体" w:eastAsia="宋体"/>
          <w:color w:val="auto"/>
          <w:sz w:val="24"/>
          <w:highlight w:val="none"/>
        </w:rPr>
        <w:t>根据贵方的</w:t>
      </w:r>
      <w:bookmarkStart w:id="242" w:name="_Hlk44287543"/>
      <w:r>
        <w:rPr>
          <w:rFonts w:hint="eastAsia" w:ascii="宋体" w:hAnsi="宋体" w:eastAsia="宋体"/>
          <w:color w:val="auto"/>
          <w:sz w:val="24"/>
          <w:highlight w:val="none"/>
        </w:rPr>
        <w:t>竞争性</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公告和</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邀请</w:t>
      </w:r>
      <w:bookmarkEnd w:id="242"/>
      <w:r>
        <w:rPr>
          <w:rFonts w:hint="eastAsia" w:ascii="宋体" w:hAnsi="宋体" w:eastAsia="宋体"/>
          <w:color w:val="auto"/>
          <w:sz w:val="24"/>
          <w:highlight w:val="none"/>
        </w:rPr>
        <w:t>，我方兹宣布同意如下：</w:t>
      </w:r>
    </w:p>
    <w:p w14:paraId="69F7610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文件的规定，严格履行合同的责任和义务,并保证于买方要求的日期内完成，并通过买方验收。</w:t>
      </w:r>
    </w:p>
    <w:p w14:paraId="4CF1E92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文件，包括</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文件附件及更正公告（如有），我方正式认可并遵守本次</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文件，并对</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文件各项条款、规定及要求均无异议。</w:t>
      </w:r>
    </w:p>
    <w:p w14:paraId="1D38378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日期起遵循本</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文件，并在</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有效期之前均具有约束力。</w:t>
      </w:r>
    </w:p>
    <w:p w14:paraId="15EB86F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4.我方声明响应文件所提供的一切资料均真实无误、及时、有效，企业运营正常。由于我方提供资料不实而造成的责任和后果由我方承担。我方同意按照贵方提出的要求，提供与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有关的任何证据、数据或资料。</w:t>
      </w:r>
    </w:p>
    <w:p w14:paraId="3E55F710">
      <w:pPr>
        <w:spacing w:line="360" w:lineRule="auto"/>
        <w:ind w:firstLine="480" w:firstLineChars="200"/>
        <w:rPr>
          <w:rFonts w:hint="eastAsia" w:ascii="宋体" w:hAnsi="宋体" w:eastAsia="宋体"/>
          <w:color w:val="auto"/>
          <w:sz w:val="24"/>
          <w:highlight w:val="none"/>
        </w:rPr>
      </w:pPr>
    </w:p>
    <w:p w14:paraId="7FB2F276">
      <w:pPr>
        <w:spacing w:line="360" w:lineRule="auto"/>
        <w:ind w:firstLine="4800" w:firstLineChars="2000"/>
        <w:rPr>
          <w:rFonts w:hint="eastAsia" w:ascii="宋体" w:hAnsi="宋体" w:eastAsia="宋体"/>
          <w:color w:val="auto"/>
          <w:sz w:val="24"/>
          <w:highlight w:val="none"/>
        </w:rPr>
      </w:pPr>
      <w:r>
        <w:rPr>
          <w:rFonts w:hint="eastAsia" w:ascii="宋体" w:hAnsi="宋体" w:eastAsia="宋体"/>
          <w:color w:val="auto"/>
          <w:sz w:val="24"/>
          <w:highlight w:val="none"/>
        </w:rPr>
        <w:t>供应商公章：</w:t>
      </w:r>
      <w:r>
        <w:rPr>
          <w:rFonts w:hint="eastAsia" w:ascii="宋体" w:hAnsi="宋体" w:eastAsia="宋体"/>
          <w:color w:val="auto"/>
          <w:sz w:val="24"/>
          <w:highlight w:val="none"/>
          <w:u w:val="single"/>
        </w:rPr>
        <w:t xml:space="preserve">             </w:t>
      </w:r>
    </w:p>
    <w:p w14:paraId="5C0347EC">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FB4EB5E">
      <w:pPr>
        <w:widowControl/>
        <w:jc w:val="left"/>
        <w:rPr>
          <w:rFonts w:hint="eastAsia" w:ascii="宋体" w:hAnsi="宋体" w:eastAsia="宋体"/>
          <w:color w:val="auto"/>
          <w:sz w:val="24"/>
          <w:highlight w:val="none"/>
        </w:rPr>
      </w:pPr>
      <w:r>
        <w:rPr>
          <w:rFonts w:ascii="宋体" w:hAnsi="宋体" w:eastAsia="宋体"/>
          <w:color w:val="auto"/>
          <w:sz w:val="24"/>
          <w:highlight w:val="none"/>
        </w:rPr>
        <w:br w:type="page"/>
      </w:r>
    </w:p>
    <w:p w14:paraId="1EAA8DCB">
      <w:pPr>
        <w:spacing w:line="360" w:lineRule="auto"/>
        <w:jc w:val="center"/>
        <w:outlineLvl w:val="1"/>
        <w:rPr>
          <w:rFonts w:hint="eastAsia" w:asciiTheme="minorEastAsia" w:hAnsiTheme="minorEastAsia" w:eastAsiaTheme="minorEastAsia"/>
          <w:b/>
          <w:color w:val="auto"/>
          <w:sz w:val="24"/>
          <w:highlight w:val="none"/>
        </w:rPr>
      </w:pPr>
      <w:bookmarkStart w:id="243" w:name="_Toc21328"/>
      <w:r>
        <w:rPr>
          <w:rFonts w:hint="eastAsia" w:asciiTheme="minorEastAsia" w:hAnsiTheme="minorEastAsia" w:eastAsiaTheme="minorEastAsia"/>
          <w:b/>
          <w:color w:val="auto"/>
          <w:sz w:val="24"/>
          <w:highlight w:val="none"/>
        </w:rPr>
        <w:t>四、供应商资格声明书</w:t>
      </w:r>
      <w:bookmarkEnd w:id="243"/>
    </w:p>
    <w:p w14:paraId="67559937">
      <w:pPr>
        <w:pStyle w:val="12"/>
        <w:spacing w:line="360" w:lineRule="auto"/>
        <w:rPr>
          <w:rFonts w:hint="eastAsia" w:asciiTheme="minorEastAsia" w:hAnsiTheme="minorEastAsia" w:cstheme="minorEastAsia"/>
          <w:color w:val="auto"/>
          <w:sz w:val="24"/>
          <w:szCs w:val="24"/>
          <w:highlight w:val="none"/>
        </w:rPr>
      </w:pPr>
      <w:r>
        <w:rPr>
          <w:rFonts w:hint="eastAsia" w:ascii="宋体" w:hAnsi="宋体"/>
          <w:color w:val="auto"/>
          <w:sz w:val="24"/>
          <w:highlight w:val="none"/>
        </w:rPr>
        <w:t>致：采购人</w:t>
      </w:r>
    </w:p>
    <w:p w14:paraId="154871A6">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w:t>
      </w:r>
      <w:r>
        <w:rPr>
          <w:rFonts w:hint="eastAsia" w:asciiTheme="minorEastAsia" w:hAnsiTheme="minorEastAsia" w:eastAsiaTheme="minorEastAsia" w:cstheme="minorEastAsia"/>
          <w:color w:val="auto"/>
          <w:kern w:val="0"/>
          <w:sz w:val="24"/>
          <w:szCs w:val="24"/>
          <w:highlight w:val="none"/>
          <w:lang w:eastAsia="zh-CN" w:bidi="ar"/>
        </w:rPr>
        <w:t>谈判</w:t>
      </w:r>
      <w:r>
        <w:rPr>
          <w:rFonts w:hint="eastAsia" w:asciiTheme="minorEastAsia" w:hAnsiTheme="minorEastAsia" w:eastAsiaTheme="minorEastAsia" w:cstheme="minorEastAsia"/>
          <w:color w:val="auto"/>
          <w:kern w:val="0"/>
          <w:sz w:val="24"/>
          <w:szCs w:val="24"/>
          <w:highlight w:val="none"/>
          <w:lang w:bidi="ar"/>
        </w:rPr>
        <w:t>中，我单位承诺：</w:t>
      </w:r>
    </w:p>
    <w:p w14:paraId="3763A77C">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2DA0C3E2">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2D6FCE59">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5C27BE70">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0D02AE">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6B0FA51">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4501"/>
        <w:gridCol w:w="2681"/>
      </w:tblGrid>
      <w:tr w14:paraId="0192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1D277D93">
            <w:pPr>
              <w:widowControl/>
              <w:spacing w:line="360" w:lineRule="auto"/>
              <w:jc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4501" w:type="dxa"/>
          </w:tcPr>
          <w:p w14:paraId="47136BBA">
            <w:pPr>
              <w:pStyle w:val="8"/>
              <w:jc w:val="center"/>
              <w:rPr>
                <w:rFonts w:hint="eastAsia"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2681" w:type="dxa"/>
          </w:tcPr>
          <w:p w14:paraId="4F13105D">
            <w:pPr>
              <w:pStyle w:val="8"/>
              <w:jc w:val="center"/>
              <w:rPr>
                <w:rFonts w:hint="eastAsia"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29CB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0942135F">
            <w:pPr>
              <w:pStyle w:val="8"/>
              <w:jc w:val="center"/>
              <w:rPr>
                <w:rFonts w:hint="eastAsia"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4501" w:type="dxa"/>
          </w:tcPr>
          <w:p w14:paraId="1E450C1F">
            <w:pPr>
              <w:pStyle w:val="8"/>
              <w:jc w:val="center"/>
              <w:rPr>
                <w:rFonts w:hint="eastAsia" w:asciiTheme="minorEastAsia" w:hAnsiTheme="minorEastAsia" w:eastAsiaTheme="minorEastAsia" w:cstheme="minorEastAsia"/>
                <w:color w:val="auto"/>
                <w:kern w:val="0"/>
                <w:sz w:val="24"/>
                <w:highlight w:val="none"/>
                <w:lang w:val="en-US" w:bidi="ar"/>
              </w:rPr>
            </w:pPr>
          </w:p>
        </w:tc>
        <w:tc>
          <w:tcPr>
            <w:tcW w:w="2681" w:type="dxa"/>
          </w:tcPr>
          <w:p w14:paraId="0D69DD78">
            <w:pPr>
              <w:pStyle w:val="8"/>
              <w:jc w:val="center"/>
              <w:rPr>
                <w:rFonts w:hint="eastAsia" w:asciiTheme="minorEastAsia" w:hAnsiTheme="minorEastAsia" w:eastAsiaTheme="minorEastAsia" w:cstheme="minorEastAsia"/>
                <w:color w:val="auto"/>
                <w:kern w:val="0"/>
                <w:sz w:val="24"/>
                <w:highlight w:val="none"/>
                <w:lang w:val="en-US" w:bidi="ar"/>
              </w:rPr>
            </w:pPr>
          </w:p>
        </w:tc>
      </w:tr>
      <w:tr w14:paraId="4321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609E9346">
            <w:pPr>
              <w:pStyle w:val="8"/>
              <w:jc w:val="center"/>
              <w:rPr>
                <w:rFonts w:hint="eastAsia"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4501" w:type="dxa"/>
          </w:tcPr>
          <w:p w14:paraId="66A8CD71">
            <w:pPr>
              <w:pStyle w:val="8"/>
              <w:jc w:val="center"/>
              <w:rPr>
                <w:rFonts w:hint="eastAsia" w:asciiTheme="minorEastAsia" w:hAnsiTheme="minorEastAsia" w:eastAsiaTheme="minorEastAsia" w:cstheme="minorEastAsia"/>
                <w:color w:val="auto"/>
                <w:kern w:val="0"/>
                <w:sz w:val="24"/>
                <w:highlight w:val="none"/>
                <w:lang w:val="en-US" w:bidi="ar"/>
              </w:rPr>
            </w:pPr>
          </w:p>
        </w:tc>
        <w:tc>
          <w:tcPr>
            <w:tcW w:w="2681" w:type="dxa"/>
          </w:tcPr>
          <w:p w14:paraId="3A0D5EF4">
            <w:pPr>
              <w:pStyle w:val="8"/>
              <w:jc w:val="center"/>
              <w:rPr>
                <w:rFonts w:hint="eastAsia" w:asciiTheme="minorEastAsia" w:hAnsiTheme="minorEastAsia" w:eastAsiaTheme="minorEastAsia" w:cstheme="minorEastAsia"/>
                <w:color w:val="auto"/>
                <w:kern w:val="0"/>
                <w:sz w:val="24"/>
                <w:highlight w:val="none"/>
                <w:lang w:val="en-US" w:bidi="ar"/>
              </w:rPr>
            </w:pPr>
          </w:p>
        </w:tc>
      </w:tr>
    </w:tbl>
    <w:p w14:paraId="60ED55D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6365674A">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供应商公章：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6A6BB64">
      <w:pPr>
        <w:tabs>
          <w:tab w:val="left" w:pos="630"/>
        </w:tabs>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0D23755">
      <w:pPr>
        <w:spacing w:line="440" w:lineRule="exact"/>
        <w:ind w:firstLine="4800" w:firstLineChars="2000"/>
        <w:rPr>
          <w:rFonts w:hint="eastAsia" w:ascii="宋体" w:hAnsi="宋体" w:eastAsia="宋体"/>
          <w:color w:val="auto"/>
          <w:sz w:val="24"/>
          <w:szCs w:val="24"/>
          <w:highlight w:val="none"/>
          <w:u w:val="single"/>
        </w:rPr>
      </w:pPr>
    </w:p>
    <w:p w14:paraId="24ABD58D">
      <w:pPr>
        <w:widowControl/>
        <w:jc w:val="left"/>
        <w:rPr>
          <w:rFonts w:hint="eastAsia" w:ascii="宋体" w:hAnsi="宋体" w:eastAsia="宋体"/>
          <w:color w:val="auto"/>
          <w:sz w:val="24"/>
          <w:highlight w:val="none"/>
        </w:rPr>
      </w:pPr>
      <w:r>
        <w:rPr>
          <w:rFonts w:ascii="宋体" w:hAnsi="宋体" w:eastAsia="宋体"/>
          <w:color w:val="auto"/>
          <w:sz w:val="24"/>
          <w:highlight w:val="none"/>
        </w:rPr>
        <w:br w:type="page"/>
      </w:r>
    </w:p>
    <w:p w14:paraId="6889F700">
      <w:pPr>
        <w:spacing w:line="360" w:lineRule="auto"/>
        <w:jc w:val="center"/>
        <w:outlineLvl w:val="1"/>
        <w:rPr>
          <w:rFonts w:hint="eastAsia" w:asciiTheme="minorEastAsia" w:hAnsiTheme="minorEastAsia" w:eastAsiaTheme="minorEastAsia"/>
          <w:b/>
          <w:color w:val="auto"/>
          <w:sz w:val="24"/>
          <w:highlight w:val="none"/>
        </w:rPr>
      </w:pPr>
      <w:bookmarkStart w:id="244" w:name="_Toc204594911"/>
      <w:bookmarkStart w:id="245" w:name="_Toc26922"/>
      <w:bookmarkStart w:id="246" w:name="_Toc31518"/>
      <w:bookmarkStart w:id="247" w:name="_Toc121626298"/>
      <w:bookmarkStart w:id="248" w:name="_Toc516969106"/>
      <w:bookmarkStart w:id="249" w:name="_Toc520983594"/>
      <w:r>
        <w:rPr>
          <w:rFonts w:hint="eastAsia" w:asciiTheme="minorEastAsia" w:hAnsiTheme="minorEastAsia" w:eastAsiaTheme="minorEastAsia"/>
          <w:b/>
          <w:color w:val="auto"/>
          <w:sz w:val="24"/>
          <w:highlight w:val="none"/>
        </w:rPr>
        <w:t>五、授权书</w:t>
      </w:r>
      <w:bookmarkEnd w:id="244"/>
      <w:bookmarkEnd w:id="245"/>
      <w:bookmarkEnd w:id="246"/>
      <w:bookmarkEnd w:id="247"/>
      <w:bookmarkEnd w:id="248"/>
      <w:bookmarkEnd w:id="249"/>
    </w:p>
    <w:p w14:paraId="46A9635E">
      <w:pPr>
        <w:spacing w:line="360" w:lineRule="auto"/>
        <w:jc w:val="center"/>
        <w:rPr>
          <w:rFonts w:hint="eastAsia" w:asciiTheme="minorEastAsia" w:hAnsiTheme="minorEastAsia" w:eastAsiaTheme="minorEastAsia"/>
          <w:b/>
          <w:color w:val="auto"/>
          <w:sz w:val="24"/>
          <w:highlight w:val="none"/>
        </w:rPr>
      </w:pPr>
    </w:p>
    <w:p w14:paraId="63C83C02">
      <w:pPr>
        <w:pStyle w:val="11"/>
        <w:snapToGrid w:val="0"/>
        <w:spacing w:line="360" w:lineRule="auto"/>
        <w:ind w:firstLine="480" w:firstLineChars="200"/>
        <w:jc w:val="left"/>
        <w:rPr>
          <w:rFonts w:hint="eastAsia"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w:t>
      </w:r>
      <w:r>
        <w:rPr>
          <w:rFonts w:hint="eastAsia" w:hAnsi="宋体" w:eastAsia="宋体"/>
          <w:color w:val="auto"/>
          <w:sz w:val="24"/>
          <w:szCs w:val="28"/>
          <w:highlight w:val="none"/>
          <w:lang w:eastAsia="zh-CN"/>
        </w:rPr>
        <w:t>谈判</w:t>
      </w:r>
      <w:r>
        <w:rPr>
          <w:rFonts w:hint="eastAsia" w:hAnsi="宋体" w:eastAsia="宋体"/>
          <w:color w:val="auto"/>
          <w:sz w:val="24"/>
          <w:szCs w:val="28"/>
          <w:highlight w:val="none"/>
        </w:rPr>
        <w:t>过程的一切事宜，包括但不限于：提交响应文件、参与</w:t>
      </w:r>
      <w:r>
        <w:rPr>
          <w:rFonts w:hint="eastAsia" w:hAnsi="宋体" w:eastAsia="宋体"/>
          <w:color w:val="auto"/>
          <w:sz w:val="24"/>
          <w:szCs w:val="28"/>
          <w:highlight w:val="none"/>
          <w:lang w:eastAsia="zh-CN"/>
        </w:rPr>
        <w:t>谈判</w:t>
      </w:r>
      <w:r>
        <w:rPr>
          <w:rFonts w:hint="eastAsia" w:hAnsi="宋体" w:eastAsia="宋体"/>
          <w:color w:val="auto"/>
          <w:sz w:val="24"/>
          <w:szCs w:val="28"/>
          <w:highlight w:val="none"/>
        </w:rPr>
        <w:t>、签约等。供应商授权代表在采购活动过程中所签署的一切文件和处理与之有关的一切事务，本公司均予以认可并对此承担责任。供应商授权代表无转委托权。特此授权。</w:t>
      </w:r>
    </w:p>
    <w:p w14:paraId="74F55096">
      <w:pPr>
        <w:pStyle w:val="11"/>
        <w:snapToGrid w:val="0"/>
        <w:spacing w:line="360" w:lineRule="auto"/>
        <w:ind w:firstLine="480" w:firstLineChars="200"/>
        <w:jc w:val="left"/>
        <w:rPr>
          <w:rFonts w:hint="eastAsia"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AA90876">
      <w:pPr>
        <w:pStyle w:val="11"/>
        <w:snapToGrid w:val="0"/>
        <w:spacing w:line="360" w:lineRule="auto"/>
        <w:ind w:firstLine="480" w:firstLineChars="200"/>
        <w:jc w:val="left"/>
        <w:rPr>
          <w:rFonts w:hint="eastAsia"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身份证明复印件：</w:t>
      </w:r>
    </w:p>
    <w:p w14:paraId="7406BE9B">
      <w:pPr>
        <w:pStyle w:val="11"/>
        <w:snapToGrid w:val="0"/>
        <w:spacing w:line="360" w:lineRule="auto"/>
        <w:ind w:firstLine="480" w:firstLineChars="200"/>
        <w:jc w:val="left"/>
        <w:rPr>
          <w:rFonts w:hint="eastAsia" w:hAnsi="宋体" w:eastAsia="宋体"/>
          <w:color w:val="auto"/>
          <w:sz w:val="24"/>
          <w:highlight w:val="none"/>
        </w:rPr>
      </w:pPr>
    </w:p>
    <w:p w14:paraId="731C9362">
      <w:pPr>
        <w:pStyle w:val="11"/>
        <w:snapToGrid w:val="0"/>
        <w:spacing w:line="360" w:lineRule="auto"/>
        <w:ind w:firstLine="480" w:firstLineChars="200"/>
        <w:jc w:val="left"/>
        <w:rPr>
          <w:rFonts w:hint="eastAsia" w:hAnsi="宋体" w:eastAsia="宋体"/>
          <w:color w:val="auto"/>
          <w:sz w:val="24"/>
          <w:highlight w:val="none"/>
        </w:rPr>
      </w:pPr>
    </w:p>
    <w:p w14:paraId="61E50B02">
      <w:pPr>
        <w:pStyle w:val="11"/>
        <w:snapToGrid w:val="0"/>
        <w:spacing w:line="360" w:lineRule="auto"/>
        <w:ind w:firstLine="480" w:firstLineChars="200"/>
        <w:jc w:val="left"/>
        <w:rPr>
          <w:rFonts w:hint="eastAsia" w:hAnsi="宋体" w:eastAsia="宋体"/>
          <w:color w:val="auto"/>
          <w:sz w:val="24"/>
          <w:highlight w:val="none"/>
        </w:rPr>
      </w:pPr>
    </w:p>
    <w:p w14:paraId="7EFC5235">
      <w:pPr>
        <w:pStyle w:val="11"/>
        <w:snapToGrid w:val="0"/>
        <w:spacing w:line="360" w:lineRule="auto"/>
        <w:ind w:firstLine="480" w:firstLineChars="200"/>
        <w:jc w:val="left"/>
        <w:rPr>
          <w:rFonts w:hint="eastAsia" w:hAnsi="宋体" w:eastAsia="宋体"/>
          <w:color w:val="auto"/>
          <w:sz w:val="24"/>
          <w:highlight w:val="none"/>
        </w:rPr>
      </w:pPr>
    </w:p>
    <w:p w14:paraId="671ED0A8">
      <w:pPr>
        <w:pStyle w:val="11"/>
        <w:snapToGrid w:val="0"/>
        <w:spacing w:line="360" w:lineRule="auto"/>
        <w:ind w:firstLine="480" w:firstLineChars="200"/>
        <w:jc w:val="left"/>
        <w:rPr>
          <w:rFonts w:hint="eastAsia"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78CA24DE">
      <w:pPr>
        <w:pStyle w:val="11"/>
        <w:snapToGrid w:val="0"/>
        <w:spacing w:line="360" w:lineRule="auto"/>
        <w:ind w:firstLine="480" w:firstLineChars="200"/>
        <w:jc w:val="left"/>
        <w:rPr>
          <w:rFonts w:hint="eastAsia" w:hAnsi="宋体" w:eastAsia="宋体"/>
          <w:color w:val="auto"/>
          <w:sz w:val="24"/>
          <w:szCs w:val="28"/>
          <w:highlight w:val="none"/>
        </w:rPr>
      </w:pPr>
    </w:p>
    <w:p w14:paraId="29AC1392">
      <w:pPr>
        <w:spacing w:line="360" w:lineRule="auto"/>
        <w:ind w:firstLine="360" w:firstLineChars="15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12AD5EF6">
      <w:pPr>
        <w:spacing w:line="360" w:lineRule="auto"/>
        <w:rPr>
          <w:rFonts w:hint="eastAsia" w:ascii="宋体" w:hAnsi="宋体" w:eastAsia="宋体"/>
          <w:color w:val="auto"/>
          <w:sz w:val="24"/>
          <w:szCs w:val="28"/>
          <w:highlight w:val="none"/>
        </w:rPr>
      </w:pPr>
    </w:p>
    <w:p w14:paraId="44E469E8">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供应商公章：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9CD08E0">
      <w:pPr>
        <w:tabs>
          <w:tab w:val="left" w:pos="630"/>
        </w:tabs>
        <w:spacing w:line="360" w:lineRule="auto"/>
        <w:ind w:firstLine="4800" w:firstLineChars="2000"/>
        <w:rPr>
          <w:rFonts w:hint="eastAsia"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A29514">
      <w:pPr>
        <w:spacing w:line="360" w:lineRule="auto"/>
        <w:rPr>
          <w:rFonts w:hint="eastAsia" w:ascii="宋体" w:hAnsi="宋体" w:eastAsia="宋体"/>
          <w:color w:val="auto"/>
          <w:sz w:val="24"/>
          <w:szCs w:val="28"/>
          <w:highlight w:val="none"/>
        </w:rPr>
      </w:pPr>
    </w:p>
    <w:p w14:paraId="3A7A9CDB">
      <w:pPr>
        <w:spacing w:line="360" w:lineRule="auto"/>
        <w:rPr>
          <w:rFonts w:hint="eastAsia" w:ascii="宋体" w:hAnsi="宋体" w:eastAsia="宋体"/>
          <w:color w:val="auto"/>
          <w:sz w:val="24"/>
          <w:szCs w:val="28"/>
          <w:highlight w:val="none"/>
        </w:rPr>
      </w:pPr>
    </w:p>
    <w:p w14:paraId="56E3B5FF">
      <w:pPr>
        <w:pStyle w:val="11"/>
        <w:snapToGrid w:val="0"/>
        <w:spacing w:line="360" w:lineRule="auto"/>
        <w:jc w:val="left"/>
        <w:rPr>
          <w:rFonts w:hint="eastAsia" w:hAnsi="宋体" w:eastAsia="宋体"/>
          <w:color w:val="auto"/>
          <w:sz w:val="24"/>
          <w:szCs w:val="28"/>
          <w:highlight w:val="none"/>
        </w:rPr>
      </w:pPr>
      <w:r>
        <w:rPr>
          <w:rFonts w:hint="eastAsia" w:hAnsi="宋体" w:eastAsia="宋体"/>
          <w:color w:val="auto"/>
          <w:sz w:val="24"/>
          <w:szCs w:val="28"/>
          <w:highlight w:val="none"/>
        </w:rPr>
        <w:t>注：</w:t>
      </w:r>
    </w:p>
    <w:p w14:paraId="510A54E9">
      <w:pPr>
        <w:pStyle w:val="11"/>
        <w:snapToGrid w:val="0"/>
        <w:spacing w:line="360" w:lineRule="auto"/>
        <w:jc w:val="left"/>
        <w:rPr>
          <w:rFonts w:hint="eastAsia"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1.本项目只允许有唯一的供应商授权代表，提供身份证明复印件；</w:t>
      </w:r>
    </w:p>
    <w:p w14:paraId="0901399F">
      <w:pPr>
        <w:spacing w:line="360" w:lineRule="auto"/>
        <w:jc w:val="left"/>
        <w:rPr>
          <w:rFonts w:hint="eastAsia" w:ascii="宋体" w:hAnsi="宋体" w:eastAsia="宋体"/>
          <w:color w:val="auto"/>
          <w:sz w:val="24"/>
          <w:highlight w:val="none"/>
        </w:rPr>
      </w:pPr>
      <w:r>
        <w:rPr>
          <w:rFonts w:hint="eastAsia" w:ascii="宋体" w:hAnsi="宋体" w:eastAsia="宋体"/>
          <w:color w:val="auto"/>
          <w:sz w:val="24"/>
          <w:highlight w:val="none"/>
        </w:rPr>
        <w:t>2.法定代表人参加</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的无需提供授权书，仅提供身份证明复印件。</w:t>
      </w:r>
    </w:p>
    <w:p w14:paraId="6EDE628D">
      <w:pPr>
        <w:widowControl/>
        <w:jc w:val="left"/>
        <w:rPr>
          <w:rFonts w:hint="eastAsia" w:ascii="宋体" w:hAnsi="宋体" w:eastAsia="宋体"/>
          <w:color w:val="auto"/>
          <w:sz w:val="24"/>
          <w:highlight w:val="none"/>
        </w:rPr>
      </w:pPr>
      <w:r>
        <w:rPr>
          <w:rFonts w:ascii="宋体" w:hAnsi="宋体" w:eastAsia="宋体"/>
          <w:color w:val="auto"/>
          <w:sz w:val="24"/>
          <w:highlight w:val="none"/>
        </w:rPr>
        <w:br w:type="page"/>
      </w:r>
    </w:p>
    <w:p w14:paraId="2011C71C">
      <w:pPr>
        <w:spacing w:line="360" w:lineRule="auto"/>
        <w:jc w:val="center"/>
        <w:outlineLvl w:val="1"/>
        <w:rPr>
          <w:rFonts w:hint="eastAsia" w:asciiTheme="minorEastAsia" w:hAnsiTheme="minorEastAsia" w:eastAsiaTheme="minorEastAsia"/>
          <w:b/>
          <w:color w:val="auto"/>
          <w:sz w:val="24"/>
          <w:highlight w:val="none"/>
        </w:rPr>
      </w:pPr>
      <w:bookmarkStart w:id="250" w:name="_Toc28033"/>
      <w:bookmarkStart w:id="251" w:name="_Toc22233"/>
      <w:r>
        <w:rPr>
          <w:rFonts w:hint="eastAsia" w:asciiTheme="minorEastAsia" w:hAnsiTheme="minorEastAsia" w:eastAsiaTheme="minorEastAsia"/>
          <w:b/>
          <w:color w:val="auto"/>
          <w:sz w:val="24"/>
          <w:highlight w:val="none"/>
        </w:rPr>
        <w:t>六、</w:t>
      </w:r>
      <w:r>
        <w:rPr>
          <w:rFonts w:hint="eastAsia" w:asciiTheme="minorEastAsia" w:hAnsiTheme="minorEastAsia" w:eastAsiaTheme="minorEastAsia"/>
          <w:b/>
          <w:color w:val="auto"/>
          <w:sz w:val="24"/>
          <w:highlight w:val="none"/>
          <w:lang w:eastAsia="zh-CN"/>
        </w:rPr>
        <w:t>谈判</w:t>
      </w:r>
      <w:r>
        <w:rPr>
          <w:rFonts w:hint="eastAsia" w:asciiTheme="minorEastAsia" w:hAnsiTheme="minorEastAsia" w:eastAsiaTheme="minorEastAsia"/>
          <w:b/>
          <w:color w:val="auto"/>
          <w:sz w:val="24"/>
          <w:highlight w:val="none"/>
        </w:rPr>
        <w:t>响应表</w:t>
      </w:r>
      <w:bookmarkEnd w:id="250"/>
      <w:bookmarkEnd w:id="251"/>
    </w:p>
    <w:p w14:paraId="3C662E26">
      <w:pPr>
        <w:spacing w:line="360" w:lineRule="auto"/>
        <w:ind w:firstLine="435"/>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2127"/>
        <w:gridCol w:w="2772"/>
        <w:gridCol w:w="2857"/>
        <w:gridCol w:w="899"/>
      </w:tblGrid>
      <w:tr w14:paraId="6C3E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2" w:hRule="atLeast"/>
          <w:jc w:val="center"/>
        </w:trPr>
        <w:tc>
          <w:tcPr>
            <w:tcW w:w="424" w:type="pct"/>
            <w:vAlign w:val="center"/>
          </w:tcPr>
          <w:p w14:paraId="32C1F9A9">
            <w:pPr>
              <w:pStyle w:val="11"/>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240E8BF8">
            <w:pPr>
              <w:pStyle w:val="11"/>
              <w:jc w:val="center"/>
              <w:rPr>
                <w:rFonts w:hint="eastAsia"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22708D1F">
            <w:pPr>
              <w:pStyle w:val="11"/>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w:t>
            </w:r>
            <w:r>
              <w:rPr>
                <w:rFonts w:hint="eastAsia" w:cs="Wingdings" w:asciiTheme="minorEastAsia" w:hAnsiTheme="minorEastAsia"/>
                <w:b/>
                <w:color w:val="auto"/>
                <w:sz w:val="24"/>
                <w:highlight w:val="none"/>
              </w:rPr>
              <w:t>文件要求</w:t>
            </w:r>
          </w:p>
        </w:tc>
        <w:tc>
          <w:tcPr>
            <w:tcW w:w="1510" w:type="pct"/>
            <w:vAlign w:val="center"/>
          </w:tcPr>
          <w:p w14:paraId="5B377C5D">
            <w:pPr>
              <w:pStyle w:val="11"/>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0AC6E598">
            <w:pPr>
              <w:pStyle w:val="11"/>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626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A7F6DA8">
            <w:pPr>
              <w:jc w:val="center"/>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3B935101">
            <w:pPr>
              <w:jc w:val="center"/>
              <w:rPr>
                <w:rFonts w:hint="eastAsia"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5E48A992">
            <w:pPr>
              <w:jc w:val="center"/>
              <w:rPr>
                <w:rFonts w:hint="eastAsia" w:asciiTheme="minorEastAsia" w:hAnsiTheme="minorEastAsia" w:eastAsiaTheme="minorEastAsia"/>
                <w:color w:val="auto"/>
                <w:sz w:val="24"/>
                <w:highlight w:val="none"/>
              </w:rPr>
            </w:pPr>
          </w:p>
        </w:tc>
        <w:tc>
          <w:tcPr>
            <w:tcW w:w="1510" w:type="pct"/>
            <w:vAlign w:val="center"/>
          </w:tcPr>
          <w:p w14:paraId="7F536FE7">
            <w:pPr>
              <w:jc w:val="center"/>
              <w:rPr>
                <w:rFonts w:hint="eastAsia" w:asciiTheme="minorEastAsia" w:hAnsiTheme="minorEastAsia" w:eastAsiaTheme="minorEastAsia"/>
                <w:color w:val="auto"/>
                <w:sz w:val="24"/>
                <w:highlight w:val="none"/>
              </w:rPr>
            </w:pPr>
          </w:p>
        </w:tc>
        <w:tc>
          <w:tcPr>
            <w:tcW w:w="475" w:type="pct"/>
            <w:vAlign w:val="center"/>
          </w:tcPr>
          <w:p w14:paraId="6A9C915F">
            <w:pPr>
              <w:jc w:val="center"/>
              <w:rPr>
                <w:rFonts w:hint="eastAsia" w:asciiTheme="minorEastAsia" w:hAnsiTheme="minorEastAsia" w:eastAsiaTheme="minorEastAsia"/>
                <w:color w:val="auto"/>
                <w:sz w:val="24"/>
                <w:highlight w:val="none"/>
              </w:rPr>
            </w:pPr>
          </w:p>
        </w:tc>
      </w:tr>
      <w:tr w14:paraId="1221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ABC8DBD">
            <w:pPr>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4E292D7E">
            <w:pPr>
              <w:jc w:val="center"/>
              <w:rPr>
                <w:rFonts w:hint="eastAsia"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465AED9A">
            <w:pPr>
              <w:jc w:val="center"/>
              <w:rPr>
                <w:rFonts w:hint="eastAsia" w:asciiTheme="minorEastAsia" w:hAnsiTheme="minorEastAsia" w:eastAsiaTheme="minorEastAsia"/>
                <w:color w:val="auto"/>
                <w:sz w:val="24"/>
                <w:highlight w:val="none"/>
              </w:rPr>
            </w:pPr>
          </w:p>
        </w:tc>
        <w:tc>
          <w:tcPr>
            <w:tcW w:w="1510" w:type="pct"/>
            <w:vAlign w:val="center"/>
          </w:tcPr>
          <w:p w14:paraId="2A32717F">
            <w:pPr>
              <w:jc w:val="center"/>
              <w:rPr>
                <w:rFonts w:hint="eastAsia" w:asciiTheme="minorEastAsia" w:hAnsiTheme="minorEastAsia" w:eastAsiaTheme="minorEastAsia"/>
                <w:color w:val="auto"/>
                <w:sz w:val="24"/>
                <w:highlight w:val="none"/>
              </w:rPr>
            </w:pPr>
          </w:p>
        </w:tc>
        <w:tc>
          <w:tcPr>
            <w:tcW w:w="475" w:type="pct"/>
            <w:vAlign w:val="center"/>
          </w:tcPr>
          <w:p w14:paraId="01E9DD15">
            <w:pPr>
              <w:jc w:val="center"/>
              <w:rPr>
                <w:rFonts w:hint="eastAsia" w:asciiTheme="minorEastAsia" w:hAnsiTheme="minorEastAsia" w:eastAsiaTheme="minorEastAsia"/>
                <w:color w:val="auto"/>
                <w:sz w:val="24"/>
                <w:highlight w:val="none"/>
              </w:rPr>
            </w:pPr>
          </w:p>
        </w:tc>
      </w:tr>
      <w:tr w14:paraId="28B4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B58A125">
            <w:pPr>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519A0508">
            <w:pPr>
              <w:jc w:val="center"/>
              <w:rPr>
                <w:rFonts w:hint="eastAsia"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6E687707">
            <w:pPr>
              <w:jc w:val="center"/>
              <w:rPr>
                <w:rFonts w:hint="eastAsia" w:asciiTheme="minorEastAsia" w:hAnsiTheme="minorEastAsia" w:eastAsiaTheme="minorEastAsia"/>
                <w:color w:val="auto"/>
                <w:sz w:val="24"/>
                <w:highlight w:val="none"/>
              </w:rPr>
            </w:pPr>
          </w:p>
        </w:tc>
        <w:tc>
          <w:tcPr>
            <w:tcW w:w="1510" w:type="pct"/>
            <w:vAlign w:val="center"/>
          </w:tcPr>
          <w:p w14:paraId="00CA3886">
            <w:pPr>
              <w:pStyle w:val="49"/>
              <w:jc w:val="center"/>
              <w:rPr>
                <w:rFonts w:hint="eastAsia" w:asciiTheme="minorEastAsia" w:hAnsiTheme="minorEastAsia" w:eastAsiaTheme="minorEastAsia"/>
                <w:color w:val="auto"/>
                <w:highlight w:val="none"/>
              </w:rPr>
            </w:pPr>
          </w:p>
        </w:tc>
        <w:tc>
          <w:tcPr>
            <w:tcW w:w="475" w:type="pct"/>
            <w:vAlign w:val="center"/>
          </w:tcPr>
          <w:p w14:paraId="5BDCCAD7">
            <w:pPr>
              <w:jc w:val="center"/>
              <w:rPr>
                <w:rFonts w:hint="eastAsia" w:asciiTheme="minorEastAsia" w:hAnsiTheme="minorEastAsia" w:eastAsiaTheme="minorEastAsia"/>
                <w:color w:val="auto"/>
                <w:sz w:val="24"/>
                <w:highlight w:val="none"/>
              </w:rPr>
            </w:pPr>
          </w:p>
        </w:tc>
      </w:tr>
      <w:tr w14:paraId="5191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E59F88F">
            <w:pPr>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0B24A500">
            <w:pPr>
              <w:jc w:val="center"/>
              <w:rPr>
                <w:rFonts w:hint="eastAsia" w:ascii="宋体" w:hAnsi="宋体" w:eastAsia="宋体"/>
                <w:color w:val="auto"/>
                <w:sz w:val="24"/>
                <w:highlight w:val="none"/>
              </w:rPr>
            </w:pPr>
          </w:p>
        </w:tc>
        <w:tc>
          <w:tcPr>
            <w:tcW w:w="1465" w:type="pct"/>
            <w:vAlign w:val="center"/>
          </w:tcPr>
          <w:p w14:paraId="13DCBD5F">
            <w:pPr>
              <w:jc w:val="center"/>
              <w:rPr>
                <w:rFonts w:hint="eastAsia" w:asciiTheme="minorEastAsia" w:hAnsiTheme="minorEastAsia" w:eastAsiaTheme="minorEastAsia"/>
                <w:color w:val="auto"/>
                <w:sz w:val="24"/>
                <w:highlight w:val="none"/>
              </w:rPr>
            </w:pPr>
          </w:p>
        </w:tc>
        <w:tc>
          <w:tcPr>
            <w:tcW w:w="1510" w:type="pct"/>
            <w:vAlign w:val="center"/>
          </w:tcPr>
          <w:p w14:paraId="68771BF5">
            <w:pPr>
              <w:jc w:val="center"/>
              <w:rPr>
                <w:rFonts w:hint="eastAsia" w:asciiTheme="minorEastAsia" w:hAnsiTheme="minorEastAsia" w:eastAsiaTheme="minorEastAsia"/>
                <w:color w:val="auto"/>
                <w:sz w:val="24"/>
                <w:highlight w:val="none"/>
              </w:rPr>
            </w:pPr>
          </w:p>
        </w:tc>
        <w:tc>
          <w:tcPr>
            <w:tcW w:w="475" w:type="pct"/>
            <w:vAlign w:val="center"/>
          </w:tcPr>
          <w:p w14:paraId="3DC8D8F4">
            <w:pPr>
              <w:jc w:val="center"/>
              <w:rPr>
                <w:rFonts w:hint="eastAsia" w:asciiTheme="minorEastAsia" w:hAnsiTheme="minorEastAsia" w:eastAsiaTheme="minorEastAsia"/>
                <w:color w:val="auto"/>
                <w:sz w:val="24"/>
                <w:highlight w:val="none"/>
              </w:rPr>
            </w:pPr>
          </w:p>
        </w:tc>
      </w:tr>
    </w:tbl>
    <w:p w14:paraId="67839C71">
      <w:pPr>
        <w:spacing w:line="360" w:lineRule="auto"/>
        <w:ind w:firstLine="4800" w:firstLineChars="2000"/>
        <w:rPr>
          <w:rFonts w:hint="eastAsia" w:ascii="宋体" w:hAnsi="宋体" w:eastAsia="宋体"/>
          <w:color w:val="auto"/>
          <w:sz w:val="24"/>
          <w:highlight w:val="none"/>
        </w:rPr>
      </w:pPr>
    </w:p>
    <w:p w14:paraId="40FE0414">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供应商公章：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D4210C3">
      <w:pPr>
        <w:tabs>
          <w:tab w:val="left" w:pos="630"/>
        </w:tabs>
        <w:spacing w:line="360" w:lineRule="auto"/>
        <w:ind w:firstLine="4800" w:firstLineChars="2000"/>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3B969147">
      <w:pPr>
        <w:pStyle w:val="12"/>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CD060E1">
      <w:pPr>
        <w:spacing w:line="360" w:lineRule="auto"/>
        <w:jc w:val="center"/>
        <w:outlineLvl w:val="1"/>
        <w:rPr>
          <w:rFonts w:hint="eastAsia" w:asciiTheme="minorEastAsia" w:hAnsiTheme="minorEastAsia" w:eastAsiaTheme="minorEastAsia"/>
          <w:b/>
          <w:color w:val="auto"/>
          <w:sz w:val="24"/>
          <w:highlight w:val="none"/>
        </w:rPr>
      </w:pPr>
      <w:bookmarkStart w:id="252" w:name="_Toc2278"/>
      <w:bookmarkStart w:id="253" w:name="_Toc20592"/>
      <w:bookmarkStart w:id="254" w:name="_Hlk44283088"/>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、诚信履约承诺函</w:t>
      </w:r>
      <w:bookmarkEnd w:id="252"/>
      <w:bookmarkEnd w:id="253"/>
    </w:p>
    <w:p w14:paraId="3D49F698">
      <w:pPr>
        <w:spacing w:line="360" w:lineRule="auto"/>
        <w:rPr>
          <w:rFonts w:hint="eastAsia" w:asciiTheme="minorEastAsia" w:hAnsiTheme="minorEastAsia" w:eastAsiaTheme="minorEastAsia"/>
          <w:b/>
          <w:bCs/>
          <w:color w:val="auto"/>
          <w:sz w:val="24"/>
          <w:highlight w:val="none"/>
        </w:rPr>
      </w:pPr>
    </w:p>
    <w:p w14:paraId="5361F784">
      <w:pPr>
        <w:spacing w:line="360" w:lineRule="auto"/>
        <w:rPr>
          <w:rFonts w:hint="eastAsia"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093A160B">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1C149DA4">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CC8B97F">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17D9700D">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406D381E">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4F9DA5BD">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6EE275EC">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2EB7CD3">
      <w:pPr>
        <w:spacing w:line="360" w:lineRule="auto"/>
        <w:rPr>
          <w:rFonts w:hint="eastAsia" w:asciiTheme="minorEastAsia" w:hAnsiTheme="minorEastAsia" w:eastAsiaTheme="minorEastAsia"/>
          <w:bCs/>
          <w:color w:val="auto"/>
          <w:sz w:val="24"/>
          <w:highlight w:val="none"/>
        </w:rPr>
      </w:pPr>
    </w:p>
    <w:p w14:paraId="0968E66D">
      <w:pPr>
        <w:spacing w:line="360" w:lineRule="auto"/>
        <w:rPr>
          <w:rFonts w:hint="eastAsia" w:asciiTheme="minorEastAsia" w:hAnsiTheme="minorEastAsia" w:eastAsiaTheme="minorEastAsia"/>
          <w:bCs/>
          <w:color w:val="auto"/>
          <w:sz w:val="24"/>
          <w:highlight w:val="none"/>
        </w:rPr>
      </w:pPr>
    </w:p>
    <w:p w14:paraId="24E81EBB">
      <w:pPr>
        <w:spacing w:line="360" w:lineRule="auto"/>
        <w:ind w:firstLine="4320" w:firstLineChars="1800"/>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供应商公章：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64A72A2">
      <w:pPr>
        <w:spacing w:line="360" w:lineRule="auto"/>
        <w:ind w:firstLine="4320" w:firstLineChars="18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57F7F075">
      <w:pPr>
        <w:widowControl/>
        <w:wordWrap w:val="0"/>
        <w:spacing w:line="360" w:lineRule="auto"/>
        <w:jc w:val="center"/>
        <w:rPr>
          <w:color w:val="auto"/>
          <w:highlight w:val="none"/>
        </w:rPr>
      </w:pPr>
      <w:r>
        <w:rPr>
          <w:rFonts w:asciiTheme="minorEastAsia" w:hAnsiTheme="minorEastAsia" w:eastAsiaTheme="minorEastAsia"/>
          <w:b/>
          <w:color w:val="auto"/>
          <w:sz w:val="24"/>
          <w:highlight w:val="none"/>
        </w:rPr>
        <w:br w:type="page"/>
      </w:r>
      <w:r>
        <w:rPr>
          <w:rFonts w:hint="eastAsia" w:asciiTheme="minorEastAsia" w:hAnsiTheme="minorEastAsia" w:eastAsiaTheme="minorEastAsia"/>
          <w:b/>
          <w:color w:val="auto"/>
          <w:sz w:val="24"/>
          <w:highlight w:val="none"/>
          <w:lang w:val="en-US" w:eastAsia="zh-CN"/>
        </w:rPr>
        <w:t>八</w:t>
      </w:r>
      <w:r>
        <w:rPr>
          <w:rFonts w:hint="eastAsia" w:ascii="宋体" w:hAnsi="宋体" w:eastAsia="宋体" w:cs="宋体"/>
          <w:b/>
          <w:bCs/>
          <w:color w:val="auto"/>
          <w:kern w:val="0"/>
          <w:sz w:val="24"/>
          <w:szCs w:val="24"/>
          <w:highlight w:val="none"/>
          <w:lang w:bidi="ar"/>
        </w:rPr>
        <w:t>、诚信响应承诺书</w:t>
      </w:r>
    </w:p>
    <w:p w14:paraId="702EA1CB">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本人以企业法定代表人的身份郑重承诺：</w:t>
      </w:r>
    </w:p>
    <w:p w14:paraId="2975AA4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一、将遵循公开、公正和诚实信用的原则自愿参加</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项目的谈判，所提供的一切材料都是真实、有效、合法的；</w:t>
      </w:r>
    </w:p>
    <w:p w14:paraId="124BED8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7ACB8C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三、不出借、转让资质证书，不让他人挂靠投标，不以他人名义投标或者以其他方式弄虚作假，骗取成交；</w:t>
      </w:r>
    </w:p>
    <w:p w14:paraId="57720F7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四、不与其他供应商相互串通响应报价，不排挤其他供应商的公平竞争、损害采购人的合法权益；</w:t>
      </w:r>
    </w:p>
    <w:p w14:paraId="60D6729B">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五、不与采购人、采购代理机构或其他供应商串通谈判，损害国家利益、社会公共利益或者他人的合法权益；</w:t>
      </w:r>
    </w:p>
    <w:p w14:paraId="760D3958">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w:t>
      </w:r>
      <w:r>
        <w:rPr>
          <w:rFonts w:hint="eastAsia" w:ascii="宋体" w:hAnsi="宋体" w:eastAsia="宋体" w:cs="宋体"/>
          <w:color w:val="auto"/>
          <w:kern w:val="2"/>
          <w:sz w:val="24"/>
          <w:szCs w:val="24"/>
          <w:highlight w:val="none"/>
          <w:u w:val="single"/>
          <w:lang w:val="en-US" w:eastAsia="zh-CN" w:bidi="ar"/>
        </w:rPr>
        <w:t xml:space="preserve">       （企业名称）</w:t>
      </w:r>
      <w:r>
        <w:rPr>
          <w:rFonts w:hint="eastAsia" w:ascii="宋体" w:hAnsi="宋体" w:eastAsia="宋体" w:cs="宋体"/>
          <w:color w:val="auto"/>
          <w:kern w:val="2"/>
          <w:sz w:val="24"/>
          <w:szCs w:val="24"/>
          <w:highlight w:val="none"/>
          <w:lang w:val="en-US" w:eastAsia="zh-CN" w:bidi="ar"/>
        </w:rPr>
        <w:t>或</w:t>
      </w:r>
      <w:r>
        <w:rPr>
          <w:rFonts w:hint="eastAsia" w:ascii="宋体" w:hAnsi="宋体" w:eastAsia="宋体" w:cs="宋体"/>
          <w:color w:val="auto"/>
          <w:kern w:val="2"/>
          <w:sz w:val="24"/>
          <w:szCs w:val="24"/>
          <w:highlight w:val="none"/>
          <w:u w:val="single"/>
          <w:lang w:val="en-US" w:eastAsia="zh-CN" w:bidi="ar"/>
        </w:rPr>
        <w:t xml:space="preserve">       （企业名称）</w:t>
      </w:r>
      <w:r>
        <w:rPr>
          <w:rFonts w:hint="eastAsia" w:ascii="宋体" w:hAnsi="宋体" w:eastAsia="宋体" w:cs="宋体"/>
          <w:color w:val="auto"/>
          <w:kern w:val="2"/>
          <w:sz w:val="24"/>
          <w:szCs w:val="24"/>
          <w:highlight w:val="none"/>
          <w:lang w:val="en-US" w:eastAsia="zh-CN"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555DB6DB">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七、我公司没有下列情形：被滁州市县两级公管部门记入不良行为记录且在披露期内。 </w:t>
      </w:r>
    </w:p>
    <w:p w14:paraId="4DB2F6AD">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八、严格遵守会议现场纪律，服从监管人员管理；</w:t>
      </w:r>
    </w:p>
    <w:p w14:paraId="3D50524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九、保证成交后不转包，若有分包征得采购人同意；</w:t>
      </w:r>
    </w:p>
    <w:p w14:paraId="197566B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十、保证成交之后，按照响应文件要求提供相关后续服务；</w:t>
      </w:r>
    </w:p>
    <w:p w14:paraId="522A7A6C">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十一、保证企业及所属相关人员在本次响应中无行贿等犯罪行为；</w:t>
      </w:r>
    </w:p>
    <w:p w14:paraId="19804EB2">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81BC3F3">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以上内容我已仔细阅读，本公司若有违反承诺内容的行为，自愿接受取消谈判或者成交资格、记入不良行为记录等有关处理，愿意承担法律责任，给采购人造成损失的，依法承担赔偿责任。 </w:t>
      </w:r>
    </w:p>
    <w:p w14:paraId="76B16BA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63D7EF8F">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5C5555D4">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开户银行：                       基本账户：</w:t>
      </w:r>
    </w:p>
    <w:p w14:paraId="50F7F3DC">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供应商（盖章）：                 法定代表人（签字或盖章）：</w:t>
      </w:r>
    </w:p>
    <w:p w14:paraId="558C14D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4F8C4E1D">
      <w:pPr>
        <w:keepNext w:val="0"/>
        <w:keepLines w:val="0"/>
        <w:widowControl w:val="0"/>
        <w:suppressLineNumbers w:val="0"/>
        <w:spacing w:before="0" w:beforeAutospacing="0" w:after="0" w:afterAutospacing="0" w:line="560" w:lineRule="exact"/>
        <w:ind w:left="0" w:right="0"/>
        <w:jc w:val="right"/>
        <w:rPr>
          <w:rFonts w:hint="eastAsia" w:ascii="仿宋_GB2312" w:hAnsi="@仿宋_GB2312" w:eastAsia="仿宋_GB2312"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日期：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年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月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43FC0273">
      <w:pPr>
        <w:widowControl/>
        <w:jc w:val="left"/>
        <w:rPr>
          <w:rFonts w:hint="eastAsia" w:asciiTheme="minorEastAsia" w:hAnsiTheme="minorEastAsia" w:eastAsiaTheme="minorEastAsia"/>
          <w:b/>
          <w:color w:val="auto"/>
          <w:sz w:val="24"/>
          <w:highlight w:val="none"/>
        </w:rPr>
      </w:pPr>
    </w:p>
    <w:bookmarkEnd w:id="254"/>
    <w:p w14:paraId="3CC07B34">
      <w:pPr>
        <w:numPr>
          <w:ilvl w:val="0"/>
          <w:numId w:val="0"/>
        </w:num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55" w:name="_Toc3826"/>
      <w:bookmarkStart w:id="256" w:name="_Toc7807"/>
    </w:p>
    <w:p w14:paraId="58FA7FEB">
      <w:pPr>
        <w:numPr>
          <w:ilvl w:val="0"/>
          <w:numId w:val="0"/>
        </w:numPr>
        <w:spacing w:line="360" w:lineRule="auto"/>
        <w:jc w:val="center"/>
        <w:outlineLvl w:val="1"/>
        <w:rPr>
          <w:rFonts w:hint="eastAsia" w:asciiTheme="minorEastAsia" w:hAnsiTheme="minorEastAsia" w:eastAsiaTheme="minorEastAsia"/>
          <w:b/>
          <w:color w:val="auto"/>
          <w:sz w:val="24"/>
          <w:highlight w:val="none"/>
          <w:lang w:val="en-US" w:eastAsia="zh-CN"/>
        </w:rPr>
      </w:pPr>
    </w:p>
    <w:p w14:paraId="7C4EE7B5">
      <w:pPr>
        <w:numPr>
          <w:ilvl w:val="0"/>
          <w:numId w:val="0"/>
        </w:numPr>
        <w:spacing w:line="360" w:lineRule="auto"/>
        <w:jc w:val="center"/>
        <w:outlineLvl w:val="1"/>
        <w:rPr>
          <w:rFonts w:hint="eastAsia" w:asciiTheme="minorEastAsia" w:hAnsiTheme="minorEastAsia" w:eastAsiaTheme="minorEastAsia"/>
          <w:b/>
          <w:color w:val="auto"/>
          <w:sz w:val="24"/>
          <w:highlight w:val="none"/>
          <w:lang w:val="en-US" w:eastAsia="zh-CN"/>
        </w:rPr>
      </w:pPr>
    </w:p>
    <w:p w14:paraId="6E2EBB62">
      <w:pPr>
        <w:numPr>
          <w:ilvl w:val="0"/>
          <w:numId w:val="0"/>
        </w:num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255"/>
      <w:bookmarkEnd w:id="256"/>
    </w:p>
    <w:p w14:paraId="0E4C82DA">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CC29F37">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t>供应商在响应文件制作中，如营业执照、</w:t>
      </w:r>
      <w:r>
        <w:rPr>
          <w:rFonts w:hint="eastAsia" w:asciiTheme="minorEastAsia" w:hAnsiTheme="minorEastAsia" w:eastAsiaTheme="minorEastAsia"/>
          <w:b/>
          <w:bCs/>
          <w:color w:val="auto"/>
          <w:sz w:val="24"/>
          <w:highlight w:val="none"/>
          <w:lang w:val="en-US" w:eastAsia="zh-CN"/>
        </w:rPr>
        <w:t>资质</w:t>
      </w:r>
      <w:r>
        <w:rPr>
          <w:rFonts w:hint="eastAsia" w:asciiTheme="minorEastAsia" w:hAnsiTheme="minorEastAsia" w:eastAsiaTheme="minorEastAsia"/>
          <w:b/>
          <w:bCs/>
          <w:color w:val="auto"/>
          <w:sz w:val="24"/>
          <w:highlight w:val="none"/>
        </w:rPr>
        <w:t>证书</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项目负责人职称证书</w:t>
      </w:r>
      <w:r>
        <w:rPr>
          <w:rFonts w:hint="eastAsia" w:asciiTheme="minorEastAsia" w:hAnsiTheme="minorEastAsia" w:eastAsiaTheme="minorEastAsia"/>
          <w:color w:val="auto"/>
          <w:sz w:val="24"/>
          <w:highlight w:val="none"/>
        </w:rPr>
        <w:t>等资料提供证明材料复印件，综合评分提供评分支持资料。</w:t>
      </w:r>
    </w:p>
    <w:p w14:paraId="27954033">
      <w:pPr>
        <w:spacing w:line="360" w:lineRule="auto"/>
        <w:jc w:val="center"/>
        <w:rPr>
          <w:rFonts w:hint="eastAsia" w:asciiTheme="minorEastAsia" w:hAnsiTheme="minorEastAsia" w:eastAsiaTheme="minorEastAsia"/>
          <w:b/>
          <w:color w:val="auto"/>
          <w:sz w:val="24"/>
          <w:highlight w:val="none"/>
        </w:rPr>
      </w:pPr>
    </w:p>
    <w:p w14:paraId="6CDEBF34">
      <w:pPr>
        <w:widowControl/>
        <w:jc w:val="left"/>
        <w:rPr>
          <w:rFonts w:hint="eastAsia" w:ascii="宋体" w:hAnsi="宋体" w:eastAsia="宋体"/>
          <w:bCs/>
          <w:color w:val="auto"/>
          <w:sz w:val="24"/>
          <w:highlight w:val="none"/>
        </w:rPr>
      </w:pPr>
      <w:r>
        <w:rPr>
          <w:rFonts w:asciiTheme="minorEastAsia" w:hAnsiTheme="minorEastAsia" w:eastAsiaTheme="minorEastAsia"/>
          <w:color w:val="auto"/>
          <w:sz w:val="24"/>
          <w:highlight w:val="none"/>
        </w:rPr>
        <w:br w:type="page"/>
      </w:r>
    </w:p>
    <w:p w14:paraId="37DF0977">
      <w:pPr>
        <w:spacing w:line="360" w:lineRule="auto"/>
        <w:jc w:val="center"/>
        <w:outlineLvl w:val="0"/>
        <w:rPr>
          <w:rFonts w:hint="eastAsia" w:ascii="宋体" w:hAnsi="宋体" w:eastAsia="宋体"/>
          <w:b/>
          <w:bCs/>
          <w:color w:val="auto"/>
          <w:sz w:val="28"/>
          <w:highlight w:val="none"/>
        </w:rPr>
      </w:pPr>
      <w:bookmarkStart w:id="257" w:name="_Toc63440924"/>
      <w:bookmarkStart w:id="258" w:name="_Toc19418"/>
      <w:r>
        <w:rPr>
          <w:rFonts w:hint="eastAsia" w:ascii="宋体" w:hAnsi="宋体" w:eastAsia="宋体"/>
          <w:b/>
          <w:bCs/>
          <w:color w:val="auto"/>
          <w:sz w:val="28"/>
          <w:highlight w:val="none"/>
        </w:rPr>
        <w:t>第七章  政府采购</w:t>
      </w:r>
      <w:bookmarkEnd w:id="257"/>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58"/>
    </w:p>
    <w:p w14:paraId="08C4ECDE">
      <w:pPr>
        <w:spacing w:line="360" w:lineRule="auto"/>
        <w:jc w:val="center"/>
        <w:outlineLvl w:val="1"/>
        <w:rPr>
          <w:rFonts w:hint="eastAsia" w:ascii="仿宋" w:hAnsi="仿宋" w:eastAsia="仿宋" w:cs="仿宋"/>
          <w:b/>
          <w:bCs/>
          <w:color w:val="auto"/>
          <w:sz w:val="32"/>
          <w:szCs w:val="44"/>
          <w:highlight w:val="none"/>
        </w:rPr>
      </w:pPr>
      <w:bookmarkStart w:id="259" w:name="_Toc2142"/>
      <w:bookmarkStart w:id="260" w:name="_Toc8735"/>
      <w:r>
        <w:rPr>
          <w:rFonts w:hint="eastAsia" w:ascii="仿宋" w:hAnsi="仿宋" w:eastAsia="仿宋" w:cs="仿宋"/>
          <w:b/>
          <w:bCs/>
          <w:color w:val="auto"/>
          <w:sz w:val="32"/>
          <w:szCs w:val="44"/>
          <w:highlight w:val="none"/>
        </w:rPr>
        <w:t>询问函范本</w:t>
      </w:r>
      <w:bookmarkEnd w:id="259"/>
      <w:bookmarkEnd w:id="260"/>
    </w:p>
    <w:p w14:paraId="5BED09FA">
      <w:pPr>
        <w:adjustRightInd w:val="0"/>
        <w:snapToGrid w:val="0"/>
        <w:spacing w:line="360" w:lineRule="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55948F62">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3527886">
      <w:pPr>
        <w:adjustRightInd w:val="0"/>
        <w:snapToGrid w:val="0"/>
        <w:spacing w:line="360" w:lineRule="auto"/>
        <w:ind w:firstLine="480" w:firstLineChars="200"/>
        <w:outlineLvl w:val="1"/>
        <w:rPr>
          <w:rFonts w:hint="eastAsia" w:cs="仿宋" w:asciiTheme="minorEastAsia" w:hAnsiTheme="minorEastAsia" w:eastAsiaTheme="minorEastAsia"/>
          <w:color w:val="auto"/>
          <w:sz w:val="24"/>
          <w:szCs w:val="24"/>
          <w:highlight w:val="none"/>
        </w:rPr>
      </w:pPr>
      <w:bookmarkStart w:id="261" w:name="_Toc9092"/>
      <w:bookmarkStart w:id="262" w:name="_Toc26386"/>
      <w:r>
        <w:rPr>
          <w:rFonts w:hint="eastAsia" w:cs="仿宋" w:asciiTheme="minorEastAsia" w:hAnsiTheme="minorEastAsia" w:eastAsiaTheme="minorEastAsia"/>
          <w:color w:val="auto"/>
          <w:sz w:val="24"/>
          <w:szCs w:val="24"/>
          <w:highlight w:val="none"/>
        </w:rPr>
        <w:t>一、(事项一)</w:t>
      </w:r>
      <w:bookmarkEnd w:id="261"/>
      <w:bookmarkEnd w:id="262"/>
    </w:p>
    <w:p w14:paraId="1FC1FAF7">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B6D007F">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9D5A714">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7AB5F19A">
      <w:pPr>
        <w:adjustRightInd w:val="0"/>
        <w:snapToGrid w:val="0"/>
        <w:spacing w:line="360" w:lineRule="auto"/>
        <w:ind w:firstLine="480" w:firstLineChars="200"/>
        <w:outlineLvl w:val="1"/>
        <w:rPr>
          <w:rFonts w:hint="eastAsia" w:cs="仿宋" w:asciiTheme="minorEastAsia" w:hAnsiTheme="minorEastAsia" w:eastAsiaTheme="minorEastAsia"/>
          <w:color w:val="auto"/>
          <w:sz w:val="24"/>
          <w:szCs w:val="24"/>
          <w:highlight w:val="none"/>
        </w:rPr>
      </w:pPr>
      <w:bookmarkStart w:id="263" w:name="_Toc9273"/>
      <w:bookmarkStart w:id="264" w:name="_Toc17582"/>
      <w:r>
        <w:rPr>
          <w:rFonts w:hint="eastAsia" w:cs="仿宋" w:asciiTheme="minorEastAsia" w:hAnsiTheme="minorEastAsia" w:eastAsiaTheme="minorEastAsia"/>
          <w:color w:val="auto"/>
          <w:sz w:val="24"/>
          <w:szCs w:val="24"/>
          <w:highlight w:val="none"/>
        </w:rPr>
        <w:t>二、(事项二)</w:t>
      </w:r>
      <w:bookmarkEnd w:id="263"/>
      <w:bookmarkEnd w:id="264"/>
    </w:p>
    <w:p w14:paraId="2ED60F5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272ABBB">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66067D2D">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AB75404">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79B9624">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1D482DA8">
      <w:pPr>
        <w:rPr>
          <w:rFonts w:hint="eastAsia"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367BF637">
      <w:pPr>
        <w:jc w:val="center"/>
        <w:outlineLvl w:val="1"/>
        <w:rPr>
          <w:rFonts w:hint="eastAsia" w:ascii="仿宋" w:hAnsi="仿宋" w:eastAsia="仿宋" w:cs="仿宋"/>
          <w:b/>
          <w:bCs/>
          <w:color w:val="auto"/>
          <w:sz w:val="32"/>
          <w:szCs w:val="44"/>
          <w:highlight w:val="none"/>
        </w:rPr>
      </w:pPr>
      <w:bookmarkStart w:id="265" w:name="_Toc26673"/>
      <w:bookmarkStart w:id="266" w:name="_Toc6990"/>
      <w:r>
        <w:rPr>
          <w:rFonts w:hint="eastAsia" w:ascii="仿宋" w:hAnsi="仿宋" w:eastAsia="仿宋" w:cs="仿宋"/>
          <w:b/>
          <w:bCs/>
          <w:color w:val="auto"/>
          <w:sz w:val="32"/>
          <w:szCs w:val="44"/>
          <w:highlight w:val="none"/>
        </w:rPr>
        <w:t>质疑函范本</w:t>
      </w:r>
      <w:bookmarkEnd w:id="265"/>
      <w:bookmarkEnd w:id="266"/>
    </w:p>
    <w:p w14:paraId="5270A0A7">
      <w:pPr>
        <w:adjustRightInd w:val="0"/>
        <w:snapToGrid w:val="0"/>
        <w:spacing w:before="312" w:beforeLines="100" w:line="360" w:lineRule="auto"/>
        <w:outlineLvl w:val="1"/>
        <w:rPr>
          <w:rFonts w:hint="eastAsia" w:cs="仿宋" w:asciiTheme="minorEastAsia" w:hAnsiTheme="minorEastAsia" w:eastAsiaTheme="minorEastAsia"/>
          <w:b/>
          <w:bCs/>
          <w:color w:val="auto"/>
          <w:sz w:val="24"/>
          <w:szCs w:val="24"/>
          <w:highlight w:val="none"/>
        </w:rPr>
      </w:pPr>
      <w:bookmarkStart w:id="267" w:name="_Toc29510"/>
      <w:bookmarkStart w:id="268" w:name="_Toc2994"/>
      <w:r>
        <w:rPr>
          <w:rFonts w:hint="eastAsia" w:cs="仿宋" w:asciiTheme="minorEastAsia" w:hAnsiTheme="minorEastAsia" w:eastAsiaTheme="minorEastAsia"/>
          <w:b/>
          <w:bCs/>
          <w:color w:val="auto"/>
          <w:sz w:val="24"/>
          <w:szCs w:val="24"/>
          <w:highlight w:val="none"/>
        </w:rPr>
        <w:t>一、质疑供应商基本信息</w:t>
      </w:r>
      <w:bookmarkEnd w:id="267"/>
      <w:bookmarkEnd w:id="268"/>
    </w:p>
    <w:p w14:paraId="28545240">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A9F90AD">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40D372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79B2A3F">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E02E7FD">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C69C15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015CBCC">
      <w:pPr>
        <w:adjustRightInd w:val="0"/>
        <w:snapToGrid w:val="0"/>
        <w:spacing w:line="360" w:lineRule="auto"/>
        <w:outlineLvl w:val="1"/>
        <w:rPr>
          <w:rFonts w:hint="eastAsia" w:cs="仿宋" w:asciiTheme="minorEastAsia" w:hAnsiTheme="minorEastAsia" w:eastAsiaTheme="minorEastAsia"/>
          <w:b/>
          <w:bCs/>
          <w:color w:val="auto"/>
          <w:sz w:val="24"/>
          <w:szCs w:val="24"/>
          <w:highlight w:val="none"/>
        </w:rPr>
      </w:pPr>
      <w:bookmarkStart w:id="269" w:name="_Toc31042"/>
      <w:bookmarkStart w:id="270" w:name="_Toc28130"/>
      <w:r>
        <w:rPr>
          <w:rFonts w:hint="eastAsia" w:cs="仿宋" w:asciiTheme="minorEastAsia" w:hAnsiTheme="minorEastAsia" w:eastAsiaTheme="minorEastAsia"/>
          <w:b/>
          <w:bCs/>
          <w:color w:val="auto"/>
          <w:sz w:val="24"/>
          <w:szCs w:val="24"/>
          <w:highlight w:val="none"/>
        </w:rPr>
        <w:t>二、质疑项目基本情况</w:t>
      </w:r>
      <w:bookmarkEnd w:id="269"/>
      <w:bookmarkEnd w:id="270"/>
    </w:p>
    <w:p w14:paraId="7FF52A9B">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047815F">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15A1E7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ACB6912">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890FDAF">
      <w:pPr>
        <w:adjustRightInd w:val="0"/>
        <w:snapToGrid w:val="0"/>
        <w:spacing w:line="360" w:lineRule="auto"/>
        <w:outlineLvl w:val="1"/>
        <w:rPr>
          <w:rFonts w:hint="eastAsia" w:cs="仿宋" w:asciiTheme="minorEastAsia" w:hAnsiTheme="minorEastAsia" w:eastAsiaTheme="minorEastAsia"/>
          <w:b/>
          <w:bCs/>
          <w:color w:val="auto"/>
          <w:sz w:val="24"/>
          <w:szCs w:val="24"/>
          <w:highlight w:val="none"/>
        </w:rPr>
      </w:pPr>
      <w:bookmarkStart w:id="271" w:name="_Toc20587"/>
      <w:bookmarkStart w:id="272" w:name="_Toc6486"/>
      <w:r>
        <w:rPr>
          <w:rFonts w:hint="eastAsia" w:cs="仿宋" w:asciiTheme="minorEastAsia" w:hAnsiTheme="minorEastAsia" w:eastAsiaTheme="minorEastAsia"/>
          <w:b/>
          <w:bCs/>
          <w:color w:val="auto"/>
          <w:sz w:val="24"/>
          <w:szCs w:val="24"/>
          <w:highlight w:val="none"/>
        </w:rPr>
        <w:t>三、质疑事项具体内容</w:t>
      </w:r>
      <w:bookmarkEnd w:id="271"/>
      <w:bookmarkEnd w:id="272"/>
    </w:p>
    <w:p w14:paraId="58209219">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3C1B7449">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1C8D4342">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6D66D22">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812CE5F">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C7C64D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3C41E003">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5BDB404">
      <w:pPr>
        <w:adjustRightInd w:val="0"/>
        <w:snapToGrid w:val="0"/>
        <w:spacing w:line="360" w:lineRule="auto"/>
        <w:outlineLvl w:val="1"/>
        <w:rPr>
          <w:rFonts w:hint="eastAsia" w:cs="仿宋" w:asciiTheme="minorEastAsia" w:hAnsiTheme="minorEastAsia" w:eastAsiaTheme="minorEastAsia"/>
          <w:b/>
          <w:bCs/>
          <w:color w:val="auto"/>
          <w:sz w:val="24"/>
          <w:szCs w:val="24"/>
          <w:highlight w:val="none"/>
        </w:rPr>
      </w:pPr>
      <w:bookmarkStart w:id="273" w:name="_Toc20470"/>
      <w:bookmarkStart w:id="274" w:name="_Toc32755"/>
      <w:r>
        <w:rPr>
          <w:rFonts w:hint="eastAsia" w:cs="仿宋" w:asciiTheme="minorEastAsia" w:hAnsiTheme="minorEastAsia" w:eastAsiaTheme="minorEastAsia"/>
          <w:b/>
          <w:bCs/>
          <w:color w:val="auto"/>
          <w:sz w:val="24"/>
          <w:szCs w:val="24"/>
          <w:highlight w:val="none"/>
        </w:rPr>
        <w:t>四、与质疑事项相关的质疑请求</w:t>
      </w:r>
      <w:bookmarkEnd w:id="273"/>
      <w:bookmarkEnd w:id="274"/>
    </w:p>
    <w:p w14:paraId="0EC056CF">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3F34286">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58AB5EDC">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F1D5DF2">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0FDD4817">
      <w:pPr>
        <w:outlineLvl w:val="0"/>
        <w:rPr>
          <w:rFonts w:hint="eastAsia" w:asciiTheme="minorEastAsia" w:hAnsiTheme="minorEastAsia" w:eastAsiaTheme="minorEastAsia"/>
          <w:b/>
          <w:color w:val="auto"/>
          <w:sz w:val="28"/>
          <w:szCs w:val="32"/>
          <w:highlight w:val="none"/>
        </w:rPr>
      </w:pPr>
      <w:bookmarkStart w:id="275" w:name="_Toc21667"/>
      <w:bookmarkStart w:id="276" w:name="_Toc8368"/>
      <w:r>
        <w:rPr>
          <w:rFonts w:hint="eastAsia" w:asciiTheme="minorEastAsia" w:hAnsiTheme="minorEastAsia" w:eastAsiaTheme="minorEastAsia"/>
          <w:b/>
          <w:color w:val="auto"/>
          <w:sz w:val="28"/>
          <w:szCs w:val="32"/>
          <w:highlight w:val="none"/>
        </w:rPr>
        <w:t>质疑函制作说明：</w:t>
      </w:r>
      <w:bookmarkEnd w:id="275"/>
      <w:bookmarkEnd w:id="276"/>
    </w:p>
    <w:p w14:paraId="66891C3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6E552A1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8E704B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48B327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3DE6F9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4102C7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27DF7CBE">
      <w:pPr>
        <w:pStyle w:val="8"/>
        <w:rPr>
          <w:rFonts w:hint="eastAsia" w:asciiTheme="minorEastAsia" w:hAnsiTheme="minorEastAsia" w:eastAsiaTheme="minorEastAsia"/>
          <w:color w:val="auto"/>
          <w:sz w:val="24"/>
          <w:highlight w:val="none"/>
        </w:rPr>
      </w:pPr>
    </w:p>
    <w:p w14:paraId="20E91478">
      <w:pPr>
        <w:pStyle w:val="8"/>
        <w:rPr>
          <w:rFonts w:hint="eastAsia" w:asciiTheme="minorEastAsia" w:hAnsiTheme="minorEastAsia" w:eastAsiaTheme="minorEastAsia"/>
          <w:color w:val="auto"/>
          <w:sz w:val="24"/>
          <w:highlight w:val="none"/>
        </w:rPr>
      </w:pPr>
    </w:p>
    <w:p w14:paraId="087541AB">
      <w:pPr>
        <w:pStyle w:val="8"/>
        <w:rPr>
          <w:rFonts w:hint="eastAsia" w:asciiTheme="minorEastAsia" w:hAnsiTheme="minorEastAsia" w:eastAsiaTheme="minorEastAsia"/>
          <w:color w:val="auto"/>
          <w:sz w:val="24"/>
          <w:highlight w:val="none"/>
        </w:rPr>
      </w:pPr>
    </w:p>
    <w:p w14:paraId="4141605F">
      <w:pPr>
        <w:pStyle w:val="8"/>
        <w:rPr>
          <w:rFonts w:hint="eastAsia" w:asciiTheme="minorEastAsia" w:hAnsiTheme="minorEastAsia" w:eastAsiaTheme="minorEastAsia"/>
          <w:color w:val="auto"/>
          <w:sz w:val="24"/>
          <w:highlight w:val="none"/>
        </w:rPr>
      </w:pPr>
    </w:p>
    <w:p w14:paraId="128E58CF">
      <w:pPr>
        <w:pStyle w:val="8"/>
        <w:rPr>
          <w:rFonts w:hint="eastAsia" w:asciiTheme="minorEastAsia" w:hAnsiTheme="minorEastAsia" w:eastAsiaTheme="minorEastAsia"/>
          <w:color w:val="auto"/>
          <w:sz w:val="24"/>
          <w:highlight w:val="none"/>
        </w:rPr>
      </w:pPr>
    </w:p>
    <w:p w14:paraId="4FC94B5D">
      <w:pPr>
        <w:pStyle w:val="8"/>
        <w:rPr>
          <w:rFonts w:hint="eastAsia" w:asciiTheme="minorEastAsia" w:hAnsiTheme="minorEastAsia" w:eastAsiaTheme="minorEastAsia"/>
          <w:color w:val="auto"/>
          <w:sz w:val="24"/>
          <w:highlight w:val="none"/>
        </w:rPr>
      </w:pPr>
    </w:p>
    <w:p w14:paraId="43C2C73E">
      <w:pPr>
        <w:pStyle w:val="8"/>
        <w:rPr>
          <w:rFonts w:hint="eastAsia" w:asciiTheme="minorEastAsia" w:hAnsiTheme="minorEastAsia" w:eastAsiaTheme="minorEastAsia"/>
          <w:color w:val="auto"/>
          <w:sz w:val="24"/>
          <w:highlight w:val="none"/>
        </w:rPr>
      </w:pPr>
    </w:p>
    <w:p w14:paraId="05FAD5CD">
      <w:pPr>
        <w:pStyle w:val="8"/>
        <w:rPr>
          <w:rFonts w:hint="eastAsia" w:asciiTheme="minorEastAsia" w:hAnsiTheme="minorEastAsia" w:eastAsiaTheme="minorEastAsia"/>
          <w:color w:val="auto"/>
          <w:sz w:val="24"/>
          <w:highlight w:val="none"/>
        </w:rPr>
      </w:pPr>
    </w:p>
    <w:p w14:paraId="612AEFB2">
      <w:pPr>
        <w:pStyle w:val="8"/>
        <w:rPr>
          <w:rFonts w:hint="eastAsia" w:asciiTheme="minorEastAsia" w:hAnsiTheme="minorEastAsia" w:eastAsiaTheme="minorEastAsia"/>
          <w:color w:val="auto"/>
          <w:sz w:val="24"/>
          <w:highlight w:val="none"/>
        </w:rPr>
      </w:pPr>
    </w:p>
    <w:p w14:paraId="5FA0F93E">
      <w:pPr>
        <w:pStyle w:val="8"/>
        <w:rPr>
          <w:rFonts w:hint="eastAsia" w:asciiTheme="minorEastAsia" w:hAnsiTheme="minorEastAsia" w:eastAsiaTheme="minorEastAsia"/>
          <w:color w:val="auto"/>
          <w:sz w:val="24"/>
          <w:highlight w:val="none"/>
        </w:rPr>
      </w:pPr>
    </w:p>
    <w:p w14:paraId="4C85CBD1">
      <w:pPr>
        <w:pStyle w:val="8"/>
        <w:rPr>
          <w:rFonts w:hint="eastAsia" w:asciiTheme="minorEastAsia" w:hAnsiTheme="minorEastAsia" w:eastAsiaTheme="minorEastAsia"/>
          <w:color w:val="auto"/>
          <w:sz w:val="24"/>
          <w:highlight w:val="none"/>
        </w:rPr>
      </w:pPr>
    </w:p>
    <w:p w14:paraId="251BBB39">
      <w:pPr>
        <w:pStyle w:val="8"/>
        <w:rPr>
          <w:rFonts w:hint="eastAsia" w:asciiTheme="minorEastAsia" w:hAnsiTheme="minorEastAsia" w:eastAsiaTheme="minorEastAsia"/>
          <w:color w:val="auto"/>
          <w:sz w:val="24"/>
          <w:highlight w:val="none"/>
        </w:rPr>
      </w:pPr>
    </w:p>
    <w:p w14:paraId="34957063">
      <w:pPr>
        <w:pStyle w:val="8"/>
        <w:rPr>
          <w:rFonts w:hint="eastAsia" w:asciiTheme="minorEastAsia" w:hAnsiTheme="minorEastAsia" w:eastAsiaTheme="minorEastAsia"/>
          <w:color w:val="auto"/>
          <w:sz w:val="24"/>
          <w:highlight w:val="none"/>
        </w:rPr>
      </w:pPr>
    </w:p>
    <w:p w14:paraId="1203C8D3">
      <w:pPr>
        <w:pStyle w:val="8"/>
        <w:rPr>
          <w:rFonts w:hint="eastAsia" w:asciiTheme="minorEastAsia" w:hAnsiTheme="minorEastAsia" w:eastAsiaTheme="minorEastAsia"/>
          <w:color w:val="auto"/>
          <w:sz w:val="24"/>
          <w:highlight w:val="none"/>
        </w:rPr>
      </w:pPr>
    </w:p>
    <w:p w14:paraId="1971A66C">
      <w:pPr>
        <w:pStyle w:val="8"/>
        <w:rPr>
          <w:rFonts w:hint="eastAsia" w:asciiTheme="minorEastAsia" w:hAnsiTheme="minorEastAsia" w:eastAsiaTheme="minorEastAsia"/>
          <w:color w:val="auto"/>
          <w:sz w:val="24"/>
          <w:highlight w:val="none"/>
        </w:rPr>
      </w:pPr>
    </w:p>
    <w:p w14:paraId="3B657E7B">
      <w:pPr>
        <w:pStyle w:val="8"/>
        <w:rPr>
          <w:rFonts w:hint="eastAsia" w:asciiTheme="minorEastAsia" w:hAnsiTheme="minorEastAsia" w:eastAsiaTheme="minorEastAsia"/>
          <w:color w:val="auto"/>
          <w:sz w:val="24"/>
          <w:highlight w:val="none"/>
        </w:rPr>
      </w:pPr>
    </w:p>
    <w:p w14:paraId="37B27F7C">
      <w:pPr>
        <w:pStyle w:val="8"/>
        <w:rPr>
          <w:rFonts w:hint="eastAsia" w:asciiTheme="minorEastAsia" w:hAnsiTheme="minorEastAsia" w:eastAsiaTheme="minorEastAsia"/>
          <w:color w:val="auto"/>
          <w:sz w:val="24"/>
          <w:highlight w:val="none"/>
        </w:rPr>
      </w:pPr>
    </w:p>
    <w:p w14:paraId="7D1C1ED5">
      <w:pPr>
        <w:pStyle w:val="8"/>
        <w:rPr>
          <w:rFonts w:hint="eastAsia" w:asciiTheme="minorEastAsia" w:hAnsiTheme="minorEastAsia" w:eastAsiaTheme="minorEastAsia"/>
          <w:color w:val="auto"/>
          <w:sz w:val="24"/>
          <w:highlight w:val="none"/>
        </w:rPr>
      </w:pPr>
    </w:p>
    <w:p w14:paraId="6E5FBBE9">
      <w:pPr>
        <w:pStyle w:val="8"/>
        <w:rPr>
          <w:rFonts w:hint="eastAsia" w:asciiTheme="minorEastAsia" w:hAnsiTheme="minorEastAsia" w:eastAsiaTheme="minorEastAsia"/>
          <w:color w:val="auto"/>
          <w:sz w:val="24"/>
          <w:highlight w:val="none"/>
        </w:rPr>
      </w:pPr>
    </w:p>
    <w:p w14:paraId="46799293">
      <w:pPr>
        <w:pStyle w:val="8"/>
        <w:rPr>
          <w:rFonts w:hint="eastAsia" w:asciiTheme="minorEastAsia" w:hAnsiTheme="minorEastAsia" w:eastAsiaTheme="minorEastAsia"/>
          <w:color w:val="auto"/>
          <w:sz w:val="24"/>
          <w:highlight w:val="none"/>
        </w:rPr>
      </w:pPr>
    </w:p>
    <w:p w14:paraId="674EE063">
      <w:pPr>
        <w:pStyle w:val="8"/>
        <w:rPr>
          <w:rFonts w:hint="eastAsia" w:asciiTheme="minorEastAsia" w:hAnsiTheme="minorEastAsia" w:eastAsiaTheme="minorEastAsia"/>
          <w:color w:val="auto"/>
          <w:sz w:val="24"/>
          <w:highlight w:val="none"/>
        </w:rPr>
      </w:pPr>
    </w:p>
    <w:p w14:paraId="038CFA7B">
      <w:pPr>
        <w:pStyle w:val="8"/>
        <w:pageBreakBefore w:val="0"/>
        <w:kinsoku/>
        <w:wordWrap w:val="0"/>
        <w:overflowPunct/>
        <w:topLinePunct w:val="0"/>
        <w:bidi w:val="0"/>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附件 1</w:t>
      </w:r>
    </w:p>
    <w:p w14:paraId="72A70079">
      <w:pPr>
        <w:pStyle w:val="8"/>
        <w:keepNext w:val="0"/>
        <w:keepLines w:val="0"/>
        <w:pageBreakBefore w:val="0"/>
        <w:widowControl w:val="0"/>
        <w:kinsoku/>
        <w:wordWrap w:val="0"/>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关于联合惩戒失信行为加强信用查询管理的通知</w:t>
      </w:r>
    </w:p>
    <w:p w14:paraId="3EDAB902">
      <w:pPr>
        <w:pStyle w:val="8"/>
        <w:keepNext w:val="0"/>
        <w:keepLines w:val="0"/>
        <w:pageBreakBefore w:val="0"/>
        <w:widowControl w:val="0"/>
        <w:kinsoku/>
        <w:wordWrap w:val="0"/>
        <w:overflowPunct/>
        <w:topLinePunct w:val="0"/>
        <w:autoSpaceDE/>
        <w:autoSpaceDN/>
        <w:bidi w:val="0"/>
        <w:adjustRightInd/>
        <w:snapToGrid/>
        <w:spacing w:after="0" w:line="500" w:lineRule="exac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一、失信行为联合惩戒的范围和查询渠道</w:t>
      </w:r>
    </w:p>
    <w:p w14:paraId="48DC0C20">
      <w:pPr>
        <w:pStyle w:val="8"/>
        <w:keepNext w:val="0"/>
        <w:keepLines w:val="0"/>
        <w:pageBreakBefore w:val="0"/>
        <w:widowControl w:val="0"/>
        <w:kinsoku/>
        <w:wordWrap w:val="0"/>
        <w:overflowPunct/>
        <w:topLinePunct w:val="0"/>
        <w:autoSpaceDE/>
        <w:autoSpaceDN/>
        <w:bidi w:val="0"/>
        <w:adjustRightInd/>
        <w:snapToGrid/>
        <w:spacing w:after="0" w:line="500" w:lineRule="exact"/>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在我市公共资源交易活动中对存在下列失信行为的投标人、法定代表人及其项目经理（建造师）实施联合惩戒，禁止参与我市公共资源交易活动。</w:t>
      </w:r>
    </w:p>
    <w:p w14:paraId="4BDEF47F">
      <w:pPr>
        <w:widowControl/>
        <w:autoSpaceDE w:val="0"/>
        <w:spacing w:line="520" w:lineRule="exact"/>
        <w:ind w:firstLine="482" w:firstLineChars="200"/>
        <w:textAlignment w:val="baseline"/>
        <w:rPr>
          <w:rFonts w:hint="eastAsia" w:asciiTheme="minorEastAsia" w:hAnsiTheme="minorEastAsia" w:eastAsiaTheme="minorEastAsia"/>
          <w:color w:val="auto"/>
          <w:sz w:val="24"/>
          <w:highlight w:val="none"/>
        </w:rPr>
      </w:pPr>
      <w:r>
        <w:rPr>
          <w:rFonts w:hint="eastAsia" w:ascii="宋体" w:hAnsi="宋体" w:eastAsia="宋体" w:cs="宋体"/>
          <w:b/>
          <w:color w:val="auto"/>
          <w:kern w:val="0"/>
          <w:sz w:val="24"/>
          <w:szCs w:val="24"/>
          <w:highlight w:val="none"/>
          <w:lang w:bidi="ar"/>
        </w:rPr>
        <w:t>（一）工程建设项目</w:t>
      </w:r>
    </w:p>
    <w:p w14:paraId="4EF49FA8">
      <w:pPr>
        <w:pStyle w:val="8"/>
        <w:keepNext w:val="0"/>
        <w:keepLines w:val="0"/>
        <w:pageBreakBefore w:val="0"/>
        <w:widowControl w:val="0"/>
        <w:kinsoku/>
        <w:wordWrap w:val="0"/>
        <w:overflowPunct/>
        <w:topLinePunct w:val="0"/>
        <w:autoSpaceDE/>
        <w:autoSpaceDN/>
        <w:bidi w:val="0"/>
        <w:adjustRightInd/>
        <w:snapToGrid/>
        <w:spacing w:after="0" w:line="500" w:lineRule="exact"/>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 xml:space="preserve">   </w:t>
      </w:r>
      <w:r>
        <w:rPr>
          <w:rFonts w:hint="eastAsia" w:asciiTheme="minorEastAsia" w:hAnsiTheme="minorEastAsia" w:eastAsiaTheme="minorEastAsia"/>
          <w:color w:val="auto"/>
          <w:sz w:val="24"/>
          <w:highlight w:val="none"/>
        </w:rPr>
        <w:t>1、“信用中国”网站（www.creditchina.gov.cn）查询投标人、法定代表人及其项目经理(建造师)以下失信行为：</w:t>
      </w:r>
    </w:p>
    <w:p w14:paraId="142B706A">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①被列入“失信被执行人”的；</w:t>
      </w:r>
    </w:p>
    <w:p w14:paraId="263D85CF">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②被列入“重大税收违法失信主体”的；</w:t>
      </w:r>
    </w:p>
    <w:p w14:paraId="595C9C13">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③被列入“拖欠农民工工资失信联合惩戒对象名单”的；</w:t>
      </w:r>
    </w:p>
    <w:p w14:paraId="27F45337">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④被列入 “严重失信主体名单”的；</w:t>
      </w:r>
    </w:p>
    <w:p w14:paraId="6379FB8A">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⑤在“信用中国”网站上披露的仍在公示期的严重失信行为(具体行为类别及判定依据见附件 2)的。</w:t>
      </w:r>
    </w:p>
    <w:p w14:paraId="486678EB">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2、国家企业信用信息公示系统网站（www.gsxt.gov.cn）查询投标人以下失信行为：</w:t>
      </w:r>
    </w:p>
    <w:p w14:paraId="507DB701">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①被列入“经营异常名录”或者“严重违法失信名单”的。</w:t>
      </w:r>
    </w:p>
    <w:p w14:paraId="4566AEC7">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3、由投标人、法定代表人及其项目经理(建造师)进行承诺，不进行现场网上信用查询的失信行为：</w:t>
      </w:r>
    </w:p>
    <w:p w14:paraId="33133EFB">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①前三年有行贿犯罪行为的单位和个人；</w:t>
      </w:r>
    </w:p>
    <w:p w14:paraId="4D52B88E">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②被滁州市县两级公管部门取消在一定期限内的投标资格且在取消期限内的；</w:t>
      </w:r>
    </w:p>
    <w:p w14:paraId="476A14DE">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③被滁州市县两级各行业主管部门取消在一定期限内的投标资格且在取消期限内的；</w:t>
      </w:r>
    </w:p>
    <w:p w14:paraId="715B4401">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④因拖欠农民工工资被县级及以上有关行政主管部门限制投标资格且在限制期限内的；</w:t>
      </w:r>
    </w:p>
    <w:p w14:paraId="4311856E">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64CA0B2">
      <w:pPr>
        <w:pStyle w:val="8"/>
        <w:keepNext w:val="0"/>
        <w:keepLines w:val="0"/>
        <w:pageBreakBefore w:val="0"/>
        <w:widowControl w:val="0"/>
        <w:kinsoku/>
        <w:wordWrap w:val="0"/>
        <w:overflowPunct/>
        <w:topLinePunct w:val="0"/>
        <w:autoSpaceDE/>
        <w:autoSpaceDN/>
        <w:bidi w:val="0"/>
        <w:adjustRightInd/>
        <w:snapToGrid/>
        <w:spacing w:after="0" w:line="500" w:lineRule="exac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（二）政府采购项目</w:t>
      </w:r>
    </w:p>
    <w:p w14:paraId="59398D25">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1、“信用中国”网站（www.creditchina.gov.cn）查询供应商、法定代表人及其项目负</w:t>
      </w:r>
    </w:p>
    <w:p w14:paraId="6A41FA5F">
      <w:pPr>
        <w:pStyle w:val="8"/>
        <w:keepNext w:val="0"/>
        <w:keepLines w:val="0"/>
        <w:pageBreakBefore w:val="0"/>
        <w:widowControl w:val="0"/>
        <w:kinsoku/>
        <w:wordWrap w:val="0"/>
        <w:overflowPunct/>
        <w:topLinePunct w:val="0"/>
        <w:autoSpaceDE/>
        <w:autoSpaceDN/>
        <w:bidi w:val="0"/>
        <w:adjustRightInd/>
        <w:snapToGrid/>
        <w:spacing w:after="0" w:line="500" w:lineRule="exact"/>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责人以下失信行为：</w:t>
      </w:r>
    </w:p>
    <w:p w14:paraId="1EDDEB52">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①被列入“失信被执行人”的;</w:t>
      </w:r>
    </w:p>
    <w:p w14:paraId="5FE687CB">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②被列入“重大税收违法失信主体”的；</w:t>
      </w:r>
    </w:p>
    <w:p w14:paraId="0F1CAD63">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③被列入 “严重失信主体名单”的；</w:t>
      </w:r>
    </w:p>
    <w:p w14:paraId="0CF145E9">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④在“信用中国”网站上披露的仍在公示期的严重失信行为(具体行为类别及判定依据见附件 2)的。</w:t>
      </w:r>
    </w:p>
    <w:p w14:paraId="73980297">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2、国家企业信用信息公示系统网站（www.gsxt.gov.cn）查询供应商以下失信行为：</w:t>
      </w:r>
    </w:p>
    <w:p w14:paraId="11669E4D">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①被列入“经营异常名录”或者“严重违法失信名单”的。</w:t>
      </w:r>
    </w:p>
    <w:p w14:paraId="683520D3">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3、中国政府采购网站（www.ccgp.gov.cn）查询以下失信行为：</w:t>
      </w:r>
    </w:p>
    <w:p w14:paraId="658D4225">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①被列入“政府采购严重违法失信行为信息记录”的。</w:t>
      </w:r>
    </w:p>
    <w:p w14:paraId="2FFEADE0">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4、由竞争主体进行承诺，不进行现场网上信用查询的失信行为：</w:t>
      </w:r>
    </w:p>
    <w:p w14:paraId="726E4BA6">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①前三年有行贿犯罪行为的单位和个人。</w:t>
      </w:r>
    </w:p>
    <w:p w14:paraId="3F07A5F0">
      <w:pPr>
        <w:pStyle w:val="8"/>
        <w:keepNext w:val="0"/>
        <w:keepLines w:val="0"/>
        <w:pageBreakBefore w:val="0"/>
        <w:widowControl w:val="0"/>
        <w:kinsoku/>
        <w:wordWrap w:val="0"/>
        <w:overflowPunct/>
        <w:topLinePunct w:val="0"/>
        <w:autoSpaceDE/>
        <w:autoSpaceDN/>
        <w:bidi w:val="0"/>
        <w:adjustRightInd/>
        <w:snapToGrid/>
        <w:spacing w:after="0" w:line="500" w:lineRule="exac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二、在开评标活动中的查询程序</w:t>
      </w:r>
    </w:p>
    <w:p w14:paraId="22F78447">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5606DB65">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387C5FD">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3、项目单位及其委托的代理机构应当做好信用查询结果截图和记录留存。</w:t>
      </w:r>
    </w:p>
    <w:p w14:paraId="29963892">
      <w:pPr>
        <w:pStyle w:val="8"/>
        <w:keepNext w:val="0"/>
        <w:keepLines w:val="0"/>
        <w:pageBreakBefore w:val="0"/>
        <w:widowControl w:val="0"/>
        <w:kinsoku/>
        <w:wordWrap w:val="0"/>
        <w:overflowPunct/>
        <w:topLinePunct w:val="0"/>
        <w:autoSpaceDE/>
        <w:autoSpaceDN/>
        <w:bidi w:val="0"/>
        <w:adjustRightInd/>
        <w:snapToGrid/>
        <w:spacing w:after="0" w:line="500" w:lineRule="exact"/>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三、相关要求</w:t>
      </w:r>
    </w:p>
    <w:p w14:paraId="28734D7A">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1、参与公共资源交易活动的竞争主体根据上述范围查询的内容进行自查并承诺，出具《诚信投标承诺书》（诚信投标承诺书包括但不限于上述自查并承诺内容）并注明承诺日期（投标截止时间前 5 日内）。</w:t>
      </w:r>
    </w:p>
    <w:p w14:paraId="11D2131C">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4FE13CD">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7D229B09">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2、“信用中国”查询的严重失信行为判定依据为各行业主管部门下发的联合惩戒文件中规定的行为（按附件 2 执行）。</w:t>
      </w:r>
    </w:p>
    <w:p w14:paraId="4D1DFB1D">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3、资格预审的项目以递交资格预审申请文件截止时间查询为准；资格后审的项目以递交投标文件截止时间查询为准。</w:t>
      </w:r>
    </w:p>
    <w:p w14:paraId="6F523804">
      <w:pPr>
        <w:pStyle w:val="8"/>
        <w:pageBreakBefore w:val="0"/>
        <w:kinsoku/>
        <w:wordWrap w:val="0"/>
        <w:overflowPunct/>
        <w:topLinePunct w:val="0"/>
        <w:bidi w:val="0"/>
        <w:textAlignment w:val="auto"/>
        <w:rPr>
          <w:rFonts w:hint="eastAsia" w:asciiTheme="minorEastAsia" w:hAnsiTheme="minorEastAsia" w:eastAsiaTheme="minorEastAsia"/>
          <w:color w:val="auto"/>
          <w:sz w:val="24"/>
          <w:highlight w:val="none"/>
        </w:rPr>
      </w:pPr>
    </w:p>
    <w:p w14:paraId="0CAEFE0A">
      <w:pPr>
        <w:pStyle w:val="8"/>
        <w:pageBreakBefore w:val="0"/>
        <w:kinsoku/>
        <w:wordWrap w:val="0"/>
        <w:overflowPunct/>
        <w:topLinePunct w:val="0"/>
        <w:bidi w:val="0"/>
        <w:textAlignment w:val="auto"/>
        <w:rPr>
          <w:rFonts w:hint="eastAsia" w:asciiTheme="minorEastAsia" w:hAnsiTheme="minorEastAsia" w:eastAsiaTheme="minorEastAsia"/>
          <w:b/>
          <w:bCs/>
          <w:color w:val="auto"/>
          <w:sz w:val="24"/>
          <w:highlight w:val="none"/>
        </w:rPr>
      </w:pPr>
    </w:p>
    <w:p w14:paraId="3FF74315">
      <w:pPr>
        <w:pStyle w:val="8"/>
        <w:pageBreakBefore w:val="0"/>
        <w:kinsoku/>
        <w:wordWrap w:val="0"/>
        <w:overflowPunct/>
        <w:topLinePunct w:val="0"/>
        <w:bidi w:val="0"/>
        <w:textAlignment w:val="auto"/>
        <w:rPr>
          <w:rFonts w:hint="eastAsia" w:asciiTheme="minorEastAsia" w:hAnsiTheme="minorEastAsia" w:eastAsiaTheme="minorEastAsia"/>
          <w:b/>
          <w:bCs/>
          <w:color w:val="auto"/>
          <w:sz w:val="24"/>
          <w:highlight w:val="none"/>
        </w:rPr>
      </w:pPr>
    </w:p>
    <w:p w14:paraId="10A03134">
      <w:pPr>
        <w:pStyle w:val="8"/>
        <w:pageBreakBefore w:val="0"/>
        <w:kinsoku/>
        <w:wordWrap w:val="0"/>
        <w:overflowPunct/>
        <w:topLinePunct w:val="0"/>
        <w:bidi w:val="0"/>
        <w:textAlignment w:val="auto"/>
        <w:rPr>
          <w:rFonts w:hint="eastAsia" w:asciiTheme="minorEastAsia" w:hAnsiTheme="minorEastAsia" w:eastAsiaTheme="minorEastAsia"/>
          <w:b/>
          <w:bCs/>
          <w:color w:val="auto"/>
          <w:sz w:val="24"/>
          <w:highlight w:val="none"/>
        </w:rPr>
      </w:pPr>
    </w:p>
    <w:p w14:paraId="2B1C58D8">
      <w:pPr>
        <w:pStyle w:val="8"/>
        <w:pageBreakBefore w:val="0"/>
        <w:kinsoku/>
        <w:wordWrap w:val="0"/>
        <w:overflowPunct/>
        <w:topLinePunct w:val="0"/>
        <w:bidi w:val="0"/>
        <w:textAlignment w:val="auto"/>
        <w:rPr>
          <w:rFonts w:hint="eastAsia" w:asciiTheme="minorEastAsia" w:hAnsiTheme="minorEastAsia" w:eastAsiaTheme="minorEastAsia"/>
          <w:b/>
          <w:bCs/>
          <w:color w:val="auto"/>
          <w:sz w:val="24"/>
          <w:highlight w:val="none"/>
        </w:rPr>
      </w:pPr>
    </w:p>
    <w:p w14:paraId="2FF078F7">
      <w:pPr>
        <w:pStyle w:val="8"/>
        <w:pageBreakBefore w:val="0"/>
        <w:kinsoku/>
        <w:wordWrap w:val="0"/>
        <w:overflowPunct/>
        <w:topLinePunct w:val="0"/>
        <w:bidi w:val="0"/>
        <w:textAlignment w:val="auto"/>
        <w:rPr>
          <w:rFonts w:hint="eastAsia" w:asciiTheme="minorEastAsia" w:hAnsiTheme="minorEastAsia" w:eastAsiaTheme="minorEastAsia"/>
          <w:b/>
          <w:bCs/>
          <w:color w:val="auto"/>
          <w:sz w:val="24"/>
          <w:highlight w:val="none"/>
        </w:rPr>
      </w:pPr>
    </w:p>
    <w:p w14:paraId="6B056548">
      <w:pPr>
        <w:pStyle w:val="8"/>
        <w:pageBreakBefore w:val="0"/>
        <w:kinsoku/>
        <w:wordWrap w:val="0"/>
        <w:overflowPunct/>
        <w:topLinePunct w:val="0"/>
        <w:bidi w:val="0"/>
        <w:textAlignment w:val="auto"/>
        <w:rPr>
          <w:rFonts w:hint="eastAsia" w:asciiTheme="minorEastAsia" w:hAnsiTheme="minorEastAsia" w:eastAsiaTheme="minorEastAsia"/>
          <w:b/>
          <w:bCs/>
          <w:color w:val="auto"/>
          <w:sz w:val="24"/>
          <w:highlight w:val="none"/>
        </w:rPr>
      </w:pPr>
    </w:p>
    <w:p w14:paraId="5AAB398F">
      <w:pPr>
        <w:pStyle w:val="8"/>
        <w:pageBreakBefore w:val="0"/>
        <w:kinsoku/>
        <w:wordWrap w:val="0"/>
        <w:overflowPunct/>
        <w:topLinePunct w:val="0"/>
        <w:bidi w:val="0"/>
        <w:textAlignment w:val="auto"/>
        <w:rPr>
          <w:rFonts w:hint="eastAsia" w:asciiTheme="minorEastAsia" w:hAnsiTheme="minorEastAsia" w:eastAsiaTheme="minorEastAsia"/>
          <w:b/>
          <w:bCs/>
          <w:color w:val="auto"/>
          <w:sz w:val="24"/>
          <w:highlight w:val="none"/>
        </w:rPr>
      </w:pPr>
    </w:p>
    <w:p w14:paraId="19589A7D">
      <w:pPr>
        <w:pStyle w:val="8"/>
        <w:pageBreakBefore w:val="0"/>
        <w:kinsoku/>
        <w:wordWrap w:val="0"/>
        <w:overflowPunct/>
        <w:topLinePunct w:val="0"/>
        <w:bidi w:val="0"/>
        <w:textAlignment w:val="auto"/>
        <w:rPr>
          <w:rFonts w:hint="eastAsia" w:asciiTheme="minorEastAsia" w:hAnsiTheme="minorEastAsia" w:eastAsiaTheme="minorEastAsia"/>
          <w:b/>
          <w:bCs/>
          <w:color w:val="auto"/>
          <w:sz w:val="24"/>
          <w:highlight w:val="none"/>
        </w:rPr>
      </w:pPr>
    </w:p>
    <w:p w14:paraId="78584361">
      <w:pPr>
        <w:pStyle w:val="8"/>
        <w:pageBreakBefore w:val="0"/>
        <w:kinsoku/>
        <w:wordWrap w:val="0"/>
        <w:overflowPunct/>
        <w:topLinePunct w:val="0"/>
        <w:bidi w:val="0"/>
        <w:textAlignment w:val="auto"/>
        <w:rPr>
          <w:rFonts w:hint="eastAsia" w:asciiTheme="minorEastAsia" w:hAnsiTheme="minorEastAsia" w:eastAsiaTheme="minorEastAsia"/>
          <w:b/>
          <w:bCs/>
          <w:color w:val="auto"/>
          <w:sz w:val="24"/>
          <w:highlight w:val="none"/>
        </w:rPr>
      </w:pPr>
    </w:p>
    <w:p w14:paraId="4F863D00">
      <w:pPr>
        <w:pStyle w:val="8"/>
        <w:pageBreakBefore w:val="0"/>
        <w:kinsoku/>
        <w:wordWrap w:val="0"/>
        <w:overflowPunct/>
        <w:topLinePunct w:val="0"/>
        <w:bidi w:val="0"/>
        <w:textAlignment w:val="auto"/>
        <w:rPr>
          <w:rFonts w:hint="eastAsia" w:asciiTheme="minorEastAsia" w:hAnsiTheme="minorEastAsia" w:eastAsiaTheme="minorEastAsia"/>
          <w:b/>
          <w:bCs/>
          <w:color w:val="auto"/>
          <w:sz w:val="24"/>
          <w:highlight w:val="none"/>
        </w:rPr>
      </w:pPr>
    </w:p>
    <w:p w14:paraId="517479DF">
      <w:pPr>
        <w:pStyle w:val="8"/>
        <w:pageBreakBefore w:val="0"/>
        <w:kinsoku/>
        <w:wordWrap w:val="0"/>
        <w:overflowPunct/>
        <w:topLinePunct w:val="0"/>
        <w:bidi w:val="0"/>
        <w:textAlignment w:val="auto"/>
        <w:rPr>
          <w:rFonts w:hint="eastAsia" w:asciiTheme="minorEastAsia" w:hAnsiTheme="minorEastAsia" w:eastAsiaTheme="minorEastAsia"/>
          <w:b/>
          <w:bCs/>
          <w:color w:val="auto"/>
          <w:sz w:val="24"/>
          <w:highlight w:val="none"/>
        </w:rPr>
      </w:pPr>
    </w:p>
    <w:p w14:paraId="3439BDCA">
      <w:pPr>
        <w:pStyle w:val="8"/>
        <w:pageBreakBefore w:val="0"/>
        <w:kinsoku/>
        <w:wordWrap w:val="0"/>
        <w:overflowPunct/>
        <w:topLinePunct w:val="0"/>
        <w:bidi w:val="0"/>
        <w:textAlignment w:val="auto"/>
        <w:rPr>
          <w:rFonts w:hint="eastAsia" w:asciiTheme="minorEastAsia" w:hAnsiTheme="minorEastAsia" w:eastAsiaTheme="minorEastAsia"/>
          <w:b/>
          <w:bCs/>
          <w:color w:val="auto"/>
          <w:sz w:val="24"/>
          <w:highlight w:val="none"/>
        </w:rPr>
      </w:pPr>
    </w:p>
    <w:p w14:paraId="118FCA87">
      <w:pPr>
        <w:pStyle w:val="8"/>
        <w:pageBreakBefore w:val="0"/>
        <w:kinsoku/>
        <w:wordWrap w:val="0"/>
        <w:overflowPunct/>
        <w:topLinePunct w:val="0"/>
        <w:bidi w:val="0"/>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 xml:space="preserve">附件 2 </w:t>
      </w:r>
    </w:p>
    <w:p w14:paraId="0120DEC2">
      <w:pPr>
        <w:pStyle w:val="8"/>
        <w:keepNext w:val="0"/>
        <w:keepLines w:val="0"/>
        <w:pageBreakBefore w:val="0"/>
        <w:widowControl w:val="0"/>
        <w:kinsoku/>
        <w:wordWrap w:val="0"/>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“信用中国”查询的严重失信行为类别及判定依据</w:t>
      </w:r>
    </w:p>
    <w:p w14:paraId="028E5F83">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“信用中国”查询的严重失信行为判定依据为各行业主管部门下发的联合惩戒文件中规定的行为。下面将部分类别的严重失信行为列举如下：</w:t>
      </w:r>
    </w:p>
    <w:p w14:paraId="7C737D1D">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2" w:firstLineChars="200"/>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一、安全生产领域严重失信行为：</w:t>
      </w:r>
    </w:p>
    <w:p w14:paraId="783739CB">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（一）下列发生生产安全事故的生产经营单位及其有关人员应当列入严重失信主体名单：</w:t>
      </w:r>
    </w:p>
    <w:p w14:paraId="3BF00231">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1、发生特别重大、重大生产安全事故的生产经营单位及其主要负责人，以及经调查认定对该事故发生负有责任，应当列入名单的其他单位和人员；</w:t>
      </w:r>
    </w:p>
    <w:p w14:paraId="1053258D">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 个月内累计发生 2 起以上较大生产安全事故的生产经营单位及其主要负责人；</w:t>
      </w:r>
    </w:p>
    <w:p w14:paraId="302DA357">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3、发生生产安全事故，情节特别严重、影响特别恶劣，依照《中华人民共和国安全生产法》第一百一十四条的规定被处以罚款数额 2 倍以上 5 倍以下罚款的生产经营单位及其主要负责人；</w:t>
      </w:r>
    </w:p>
    <w:p w14:paraId="03DA1053">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4、瞒报、谎报生产安全事故的生产经营单位及其有关责任人员；</w:t>
      </w:r>
    </w:p>
    <w:p w14:paraId="75537F19">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5、发生生产安全事故后，不立即组织抢救或者在事故调查处理期间擅离职守或者逃匿的生产经营单位主要负责人。</w:t>
      </w:r>
    </w:p>
    <w:p w14:paraId="6B1391B7">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（二）下列未发生生产安全事故，但因安全生产违法行为，受到行政处罚的生产经营单位或者机构及其有关人员，应当列入严重失信主体名单：</w:t>
      </w:r>
    </w:p>
    <w:p w14:paraId="6AF30DAD">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1、未依法取得安全生产相关许可或者许可被暂扣、吊销期间从事相关生产经营活动的生产经营单位及其主要负责人；</w:t>
      </w:r>
    </w:p>
    <w:p w14:paraId="720FF5DC">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2、承担安全评价、认证、检测、检验职责的机构及其直接责任人员租借资质、挂靠、出具虚假报告或者证书的；</w:t>
      </w:r>
    </w:p>
    <w:p w14:paraId="208E8B82">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3、在应急管理部门作出行政处罚后，有执行能力拒不执行或者逃避执行的生产经营单位及其主要负责人；</w:t>
      </w:r>
    </w:p>
    <w:p w14:paraId="5EB2C8EE">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4、其他违反安全生产法律法规受到行政处罚，且性质恶劣、情节严重的。</w:t>
      </w:r>
    </w:p>
    <w:p w14:paraId="4BD94BB3">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2" w:firstLineChars="200"/>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依据：《安全生产严重失信主体名单管理办法》（2023 年 8 月 8 日应急管理部令第 11号）</w:t>
      </w:r>
    </w:p>
    <w:p w14:paraId="219696BC">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2" w:firstLineChars="200"/>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二、环境保护领域严重失信行为：</w:t>
      </w:r>
    </w:p>
    <w:p w14:paraId="13BD682E">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（一）因为环境违法构成环境犯罪的；</w:t>
      </w:r>
    </w:p>
    <w:p w14:paraId="0704F6D8">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（二）建设项目环境影响评价文件未按规定通过审批，擅自开工建设的；</w:t>
      </w:r>
    </w:p>
    <w:p w14:paraId="4CEB0A23">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（三）建设项目环保设施未建成、环保措施未落实、未通过竣工环保验收或者验收不合格，主体工程正式投入生产或者使用的；</w:t>
      </w:r>
    </w:p>
    <w:p w14:paraId="224E7757">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（四）建设项目性质、规模、地点、采用的生产工艺或者防治污染、防止生态破坏的措施发生重大变动，未重新报批环境影响评价文件，擅自投入生产或者使用的；</w:t>
      </w:r>
    </w:p>
    <w:p w14:paraId="112F6766">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（五）主要污染物排放总量超过控制指标的；</w:t>
      </w:r>
    </w:p>
    <w:p w14:paraId="3EB3CD6C">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（六）私设暗管或者利用渗井、渗坑、裂隙、溶洞等排放、倾倒、处置水污染物，或者通过私设旁路排放大气污染物的；</w:t>
      </w:r>
    </w:p>
    <w:p w14:paraId="0D122011">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（七）非法排放、倾倒、处置危险废物，或者向无经营许可证或者超出经营许可范围的单位或个人提供或者委托其收集、贮存、利用、处置危险废物的；</w:t>
      </w:r>
    </w:p>
    <w:p w14:paraId="6D049D7E">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（八）环境违法行为造成集中式生活饮用水水源取水中断的；</w:t>
      </w:r>
    </w:p>
    <w:p w14:paraId="38D7D533">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（九）环境违法行为对生活饮用水水源保护区、自然保护区、国家重点生态功能区、风景名胜区、居住功能区、基本农田保护区等环境敏感区造成重大不利影响的；</w:t>
      </w:r>
    </w:p>
    <w:p w14:paraId="4C77ABA2">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（十）违法从事自然资源开发、交通基础设施建设，以及其他开发建设活动，造成严重生态破坏的；</w:t>
      </w:r>
    </w:p>
    <w:p w14:paraId="24FA7953">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（十一）发生较大及以上突发环境事件的；</w:t>
      </w:r>
    </w:p>
    <w:p w14:paraId="60C54562">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（十二）被环保部门挂牌督办，整改逾期未完成的；</w:t>
      </w:r>
    </w:p>
    <w:p w14:paraId="5008EABF">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（十三）以暴力、威胁等方式拒绝、阻挠环保部门工作人员现场检查的；</w:t>
      </w:r>
    </w:p>
    <w:p w14:paraId="3B4FB298">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（十四）违反重污染天气应急预案有关规定，对重污染天气响应不力的。</w:t>
      </w:r>
    </w:p>
    <w:p w14:paraId="44F233F8">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2" w:firstLineChars="200"/>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依据：《关于对环境保护领域失信生产经营单位及其有关人员开展联合惩戒的合作备忘录》、《企业环境信用评价办法（试行）》（环发〔2013〕150 号）</w:t>
      </w:r>
    </w:p>
    <w:p w14:paraId="3ED6D408">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2" w:firstLineChars="200"/>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三、公共资源交易领域严重失信行为</w:t>
      </w:r>
    </w:p>
    <w:p w14:paraId="4401E816">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（一）违反法律规定，必须进行招标的项目而不招标的，将必须进行招标的项目化整为零或者以其他任何方式规避招标的；</w:t>
      </w:r>
    </w:p>
    <w:p w14:paraId="401AE9FE">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（二）招标代理机构违反法律规定，泄露应当保密的与招标投标活动有关的情况和资料的，或者与招标人、投标人串通损害 国家利益、社会公共利益或者他人合法权益的；</w:t>
      </w:r>
    </w:p>
    <w:p w14:paraId="7EB7F8C7">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（三）招标人以不合理的条件限制或者排斥潜在投标人的，对潜在投标人实行歧视待遇的，强制要求投标人组成联合体共同 投标的，或者限制投标人之间竞争的；</w:t>
      </w:r>
    </w:p>
    <w:p w14:paraId="5028BCEB">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（四）依法必须进行招标的项目的招标人向他人透露已获取招标文件的潜在投标人的名称、数量或者可能影响公平竞争的有 关招标投标的其他情况的，或者泄露标底的；</w:t>
      </w:r>
    </w:p>
    <w:p w14:paraId="2852B623">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（五）投标人相互串通投标或者与招标人串通投标的，投标人以向招标人或者评标委员会成员行贿的手段谋取中标的；</w:t>
      </w:r>
    </w:p>
    <w:p w14:paraId="0C584726">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（六）投标人以他人名义投标或者以其他方式弄虚作假，骗取中标的；</w:t>
      </w:r>
    </w:p>
    <w:p w14:paraId="16F8CD16">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（七）依法必须进行招标的项目，招标人违反法律规定，与投标人就投标价格、投标方案等实质性内容进行谈判的；</w:t>
      </w:r>
    </w:p>
    <w:p w14:paraId="1A32673E">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（八）评标委员会成员收受投标人的财物或者其他好处的，评标委员会成员或者参加评标的有关工作人员向他人透露对投 标文件的评审和比较、中标候选人的推荐以及与评标有关的其他 情况的；</w:t>
      </w:r>
    </w:p>
    <w:p w14:paraId="0BE3FE53">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（九）招标人在评标委员会依法推荐的中标候选人以外确定中标人的，依法必须进行招标的项目在所有投标被评标委员会否 决后自行确定中标人的；</w:t>
      </w:r>
    </w:p>
    <w:p w14:paraId="00DE4E9A">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（十）中标人将中标项目转让给他人的，将中标项目肢解后分别转让给他人的，违反法律规定将中标项目的部分主体、关键 性工作分包给他人的，或者分包人再次分包的；</w:t>
      </w:r>
    </w:p>
    <w:p w14:paraId="7EA93E50">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（十一）招标人与中标人不按照招标文件和中标人的投标文件订立合同的，或者招标人、中标人订立背离合同实质性内容的 协议的；</w:t>
      </w:r>
    </w:p>
    <w:p w14:paraId="609E7C6D">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（十二）中标人不按照与招标人订立的合同履行义务，情节严重的；</w:t>
      </w:r>
    </w:p>
    <w:p w14:paraId="3E1F8373">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6C0AFA2">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7CF71060">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（十五）采购人对应当实行集中采购的政府采购项目，不委托集中采购机构实行集中采购的；</w:t>
      </w:r>
    </w:p>
    <w:p w14:paraId="2F501D3A">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（十六）采购人、采购代理机构违反法律规定隐匿、销毁应当保存的</w:t>
      </w:r>
      <w:r>
        <w:rPr>
          <w:rFonts w:hint="eastAsia" w:asciiTheme="minorEastAsia" w:hAnsiTheme="minorEastAsia" w:eastAsiaTheme="minorEastAsia"/>
          <w:color w:val="auto"/>
          <w:sz w:val="24"/>
          <w:highlight w:val="none"/>
          <w:lang w:eastAsia="zh-CN"/>
        </w:rPr>
        <w:t>招标文件</w:t>
      </w:r>
      <w:r>
        <w:rPr>
          <w:rFonts w:hint="eastAsia" w:asciiTheme="minorEastAsia" w:hAnsiTheme="minorEastAsia" w:eastAsiaTheme="minorEastAsia"/>
          <w:color w:val="auto"/>
          <w:sz w:val="24"/>
          <w:highlight w:val="none"/>
        </w:rPr>
        <w:t>或者伪造、变造</w:t>
      </w:r>
      <w:r>
        <w:rPr>
          <w:rFonts w:hint="eastAsia" w:asciiTheme="minorEastAsia" w:hAnsiTheme="minorEastAsia" w:eastAsiaTheme="minorEastAsia"/>
          <w:color w:val="auto"/>
          <w:sz w:val="24"/>
          <w:highlight w:val="none"/>
          <w:lang w:eastAsia="zh-CN"/>
        </w:rPr>
        <w:t>招标文件</w:t>
      </w:r>
      <w:r>
        <w:rPr>
          <w:rFonts w:hint="eastAsia" w:asciiTheme="minorEastAsia" w:hAnsiTheme="minorEastAsia" w:eastAsiaTheme="minorEastAsia"/>
          <w:color w:val="auto"/>
          <w:sz w:val="24"/>
          <w:highlight w:val="none"/>
        </w:rPr>
        <w:t>的；</w:t>
      </w:r>
    </w:p>
    <w:p w14:paraId="77367B6C">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w:t>
      </w:r>
    </w:p>
    <w:p w14:paraId="2525B580">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（十八）疫苗生产企业向县级疾病预防控制机构以外的单位或者个人销售第二类疫苗的；</w:t>
      </w:r>
    </w:p>
    <w:p w14:paraId="43E2DEAE">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（十九）存在其他违反公共资源交易法律法规行为的。</w:t>
      </w:r>
    </w:p>
    <w:p w14:paraId="4ABC0FDD">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1" w:firstLineChars="100"/>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依据：《关于对公共资源交易领域严重失信主体开展联合惩戒的备忘录》（发改法规〔2018〕457 号）</w:t>
      </w:r>
    </w:p>
    <w:p w14:paraId="7BEA8E66">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1" w:firstLineChars="100"/>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四、社会保险领域严重失信行为</w:t>
      </w:r>
    </w:p>
    <w:p w14:paraId="47CC2E05">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（一）用人单位未按相关规定参加社会保险且拒不整改的；</w:t>
      </w:r>
    </w:p>
    <w:p w14:paraId="5EF498CA">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（二）用人单位未如实申报社会保险缴费基数且拒不整改的；</w:t>
      </w:r>
    </w:p>
    <w:p w14:paraId="7C79B755">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（三）应缴纳社会保险费却拒不缴纳的；</w:t>
      </w:r>
    </w:p>
    <w:p w14:paraId="25EEFAB5">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（四）隐匿、转移、侵占、挪用社会保险费款、基金或者违规投资运营的；</w:t>
      </w:r>
    </w:p>
    <w:p w14:paraId="1C942FB1">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（五）以欺诈、伪造证明材料或者其他手段参加、申报社会保险和骗取社会保险基金支出或社会保险待遇的；</w:t>
      </w:r>
    </w:p>
    <w:p w14:paraId="0B209F68">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（六）非法获取、出售或变相交易社会保险个人权益数据的；</w:t>
      </w:r>
    </w:p>
    <w:p w14:paraId="73BB4B82">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（七）社会保险服务机构违反服务协议或相关规定的；</w:t>
      </w:r>
    </w:p>
    <w:p w14:paraId="618092E5">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（八）拒绝协助社会保险行政部门、经办机构对事故和问题进 行调查核实的；拒绝接受或协助税务部门对社会保险实施监督检查， 不如实提供与社会保险相关各项资料的；</w:t>
      </w:r>
    </w:p>
    <w:p w14:paraId="2BD47123">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（九）其他违反法律法规规定的。</w:t>
      </w:r>
    </w:p>
    <w:p w14:paraId="4F21C2C4">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2" w:firstLineChars="200"/>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依据：《关于对社会保险领域严重失信企业及其有关人员实施联合惩戒的合作备忘录》（发改财金〔2018〕1704 号）</w:t>
      </w:r>
    </w:p>
    <w:p w14:paraId="6423ECAA">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2"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五、建筑市场领域严重失信行为</w:t>
      </w:r>
    </w:p>
    <w:p w14:paraId="324B6AD0">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（一）利用虚假材料、以欺骗手段取得企业资质的；</w:t>
      </w:r>
    </w:p>
    <w:p w14:paraId="1951EA41">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（二）发生转包、出借资质，受到行政处罚的；</w:t>
      </w:r>
    </w:p>
    <w:p w14:paraId="31D7916C">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（三）发生重大及以上工程质量安全事故，或 1 年内累计发生 2 次及以上较大工程质量安全事故，或发生性质恶劣、危害性严重、社会影响大的较大工程质量安全事故，受到行政处罚的；</w:t>
      </w:r>
    </w:p>
    <w:p w14:paraId="29DF4BAA">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经法院判决或仲裁机构裁决，认定为拖欠工程款,且拒不履行生效法律文书确定的义务的。各级住房城乡建设主管部门应当参照建筑市场主体“黑名单”，对被人力资源社会保障行政部门列入拖欠农民工工资“黑名单”的建筑市场各方主体加强监管。</w:t>
      </w:r>
    </w:p>
    <w:p w14:paraId="05A9D978">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1" w:firstLineChars="100"/>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依据：《建筑市场信用管理暂行办法》（建市〔2017〕241 号）</w:t>
      </w:r>
    </w:p>
    <w:p w14:paraId="55655DD5">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2" w:firstLineChars="200"/>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六、政府采购严重失信行为</w:t>
      </w:r>
    </w:p>
    <w:p w14:paraId="7D4C6862">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供应商、采购代理机构在三年内受到财政部门作出下列情形之一的行政处罚，列入政府采购严重违法失信行为记录名单。</w:t>
      </w:r>
    </w:p>
    <w:p w14:paraId="423D80F2">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（一）三万元以上罚款；</w:t>
      </w:r>
    </w:p>
    <w:p w14:paraId="6029DCC3">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（二）在一至三年内禁止参加政府采购活动（处罚期限届满的除外）；</w:t>
      </w:r>
    </w:p>
    <w:p w14:paraId="18FAF683">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（三）在一至三年内禁止代理政府采购业务（处罚期限届满的除外）；</w:t>
      </w:r>
    </w:p>
    <w:p w14:paraId="63F0C638">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0" w:firstLineChars="1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（四）撤销政府采购代理机构资格（仅针对《政府采购法》第 78 条修改前作出的处罚决定）。</w:t>
      </w:r>
    </w:p>
    <w:p w14:paraId="176CDB79">
      <w:pPr>
        <w:pStyle w:val="8"/>
        <w:keepNext w:val="0"/>
        <w:keepLines w:val="0"/>
        <w:pageBreakBefore w:val="0"/>
        <w:widowControl w:val="0"/>
        <w:kinsoku/>
        <w:wordWrap w:val="0"/>
        <w:overflowPunct/>
        <w:topLinePunct w:val="0"/>
        <w:autoSpaceDE/>
        <w:autoSpaceDN/>
        <w:bidi w:val="0"/>
        <w:adjustRightInd/>
        <w:snapToGrid/>
        <w:spacing w:after="0" w:line="500" w:lineRule="exact"/>
        <w:ind w:firstLine="241" w:firstLineChars="100"/>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依据：《关于报送政府采购严重违法失信行为信息记录的通知》（财办库〔2014〕526号）</w:t>
      </w:r>
    </w:p>
    <w:p w14:paraId="131B8D2E">
      <w:pPr>
        <w:pStyle w:val="8"/>
        <w:keepNext w:val="0"/>
        <w:keepLines w:val="0"/>
        <w:pageBreakBefore w:val="0"/>
        <w:widowControl w:val="0"/>
        <w:kinsoku/>
        <w:wordWrap w:val="0"/>
        <w:overflowPunct/>
        <w:topLinePunct w:val="0"/>
        <w:autoSpaceDE/>
        <w:autoSpaceDN/>
        <w:bidi w:val="0"/>
        <w:adjustRightInd/>
        <w:snapToGrid/>
        <w:spacing w:after="0" w:line="500" w:lineRule="exact"/>
        <w:ind w:firstLine="482" w:firstLineChars="200"/>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未列出的其他类别严重失信行为，由招标人（代理机构）根据各类别行业主管部门下发的联合惩戒文件进行判断。</w:t>
      </w:r>
    </w:p>
    <w:p w14:paraId="6D4847C1">
      <w:pPr>
        <w:pStyle w:val="8"/>
        <w:keepNext w:val="0"/>
        <w:keepLines w:val="0"/>
        <w:pageBreakBefore w:val="0"/>
        <w:widowControl w:val="0"/>
        <w:kinsoku/>
        <w:wordWrap w:val="0"/>
        <w:overflowPunct/>
        <w:topLinePunct w:val="0"/>
        <w:autoSpaceDE/>
        <w:autoSpaceDN/>
        <w:bidi w:val="0"/>
        <w:adjustRightInd/>
        <w:snapToGrid/>
        <w:spacing w:after="0" w:line="500" w:lineRule="exact"/>
        <w:textAlignment w:val="auto"/>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 xml:space="preserve"> </w:t>
      </w:r>
    </w:p>
    <w:p w14:paraId="1C26CD74">
      <w:pPr>
        <w:pStyle w:val="8"/>
        <w:rPr>
          <w:rFonts w:hint="eastAsia" w:asciiTheme="minorEastAsia" w:hAnsiTheme="minorEastAsia" w:eastAsiaTheme="minorEastAsia"/>
          <w:color w:val="auto"/>
          <w:sz w:val="24"/>
          <w:highlight w:val="none"/>
        </w:rPr>
      </w:pPr>
    </w:p>
    <w:sectPr>
      <w:headerReference r:id="rId5" w:type="default"/>
      <w:footerReference r:id="rId6" w:type="default"/>
      <w:pgSz w:w="11906" w:h="16838"/>
      <w:pgMar w:top="1440" w:right="126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0E375">
    <w:pPr>
      <w:pStyle w:val="1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E00E7">
    <w:pPr>
      <w:pStyle w:val="14"/>
      <w:rPr>
        <w:rFonts w:hint="eastAsia"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2157730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ACB58">
                          <w:pPr>
                            <w:pStyle w:val="14"/>
                            <w:rPr>
                              <w:rFonts w:hint="eastAsia"/>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9.9pt;margin-top:0pt;height:144pt;width:144pt;mso-position-horizontal-relative:margin;mso-wrap-style:none;z-index:251659264;mso-width-relative:page;mso-height-relative:page;" filled="f" stroked="f" coordsize="21600,21600" o:gfxdata="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aHXLAsb&#10;/WB5hI7iebvcBwiYdI2i9EqctUK3pcqcJyO285/7FPX4N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cAboDVAAAACAEAAA8AAAAAAAAAAQAgAAAAIgAAAGRycy9kb3ducmV2LnhtbFBLAQIUABQA&#10;AAAIAIdO4kAXDIm4LAIAAFUEAAAOAAAAAAAAAAEAIAAAACQBAABkcnMvZTJvRG9jLnhtbFBLBQYA&#10;AAAABgAGAFkBAADCBQAAAAA=&#10;">
              <v:fill on="f" focussize="0,0"/>
              <v:stroke on="f" weight="0.5pt"/>
              <v:imagedata o:title=""/>
              <o:lock v:ext="edit" aspectratio="f"/>
              <v:textbox inset="0mm,0mm,0mm,0mm" style="mso-fit-shape-to-text:t;">
                <w:txbxContent>
                  <w:p w14:paraId="364ACB58">
                    <w:pPr>
                      <w:pStyle w:val="14"/>
                      <w:rPr>
                        <w:rFonts w:hint="eastAsia"/>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AC181">
    <w:pPr>
      <w:pStyle w:val="15"/>
      <w:jc w:val="left"/>
      <w:rPr>
        <w:rFonts w:hint="eastAsia"/>
      </w:rPr>
    </w:pPr>
    <w:r>
      <w:rPr>
        <w:rFonts w:hint="eastAsia" w:asciiTheme="minorEastAsia" w:hAnsiTheme="minorEastAsia" w:eastAsiaTheme="minorEastAsia"/>
      </w:rPr>
      <w:t>安徽省政府采购项目竞争性</w:t>
    </w:r>
    <w:r>
      <w:rPr>
        <w:rFonts w:hint="eastAsia" w:asciiTheme="minorEastAsia" w:hAnsiTheme="minorEastAsia" w:eastAsiaTheme="minorEastAsia"/>
        <w:lang w:eastAsia="zh-CN"/>
      </w:rPr>
      <w:t>谈判</w:t>
    </w:r>
    <w:r>
      <w:rPr>
        <w:rFonts w:hint="eastAsia" w:asciiTheme="minorEastAsia" w:hAnsiTheme="minorEastAsia" w:eastAsiaTheme="minorEastAsia"/>
      </w:rPr>
      <w:t>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8E065">
    <w:pPr>
      <w:pStyle w:val="15"/>
      <w:jc w:val="left"/>
      <w:rPr>
        <w:rFonts w:hint="eastAsia"/>
      </w:rPr>
    </w:pPr>
    <w:r>
      <w:rPr>
        <w:rFonts w:hint="eastAsia" w:asciiTheme="minorEastAsia" w:hAnsiTheme="minorEastAsia" w:eastAsiaTheme="minorEastAsia"/>
      </w:rPr>
      <w:t>安徽省政府采购项目竞争性</w:t>
    </w:r>
    <w:r>
      <w:rPr>
        <w:rFonts w:hint="eastAsia" w:asciiTheme="minorEastAsia" w:hAnsiTheme="minorEastAsia" w:eastAsiaTheme="minorEastAsia"/>
        <w:lang w:eastAsia="zh-CN"/>
      </w:rPr>
      <w:t>谈判</w:t>
    </w:r>
    <w:r>
      <w:rPr>
        <w:rFonts w:hint="eastAsia" w:asciiTheme="minorEastAsia" w:hAnsiTheme="minorEastAsia" w:eastAsiaTheme="minorEastAsia"/>
      </w:rPr>
      <w:t>文件示范文本（服务类）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M2M2Y2JhYzUxZDQwOGI5OWNiODQyNTYwMmFhYzg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01C1"/>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054C"/>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2B2D"/>
    <w:rsid w:val="00693404"/>
    <w:rsid w:val="006953D9"/>
    <w:rsid w:val="00695B11"/>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47DA1"/>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84C"/>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338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0DF2"/>
    <w:rsid w:val="00B22838"/>
    <w:rsid w:val="00B33E8F"/>
    <w:rsid w:val="00B33E95"/>
    <w:rsid w:val="00B3720B"/>
    <w:rsid w:val="00B45D0B"/>
    <w:rsid w:val="00B52FA0"/>
    <w:rsid w:val="00B5558A"/>
    <w:rsid w:val="00B561ED"/>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2906"/>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441"/>
    <w:rsid w:val="00D14585"/>
    <w:rsid w:val="00D153C8"/>
    <w:rsid w:val="00D17F98"/>
    <w:rsid w:val="00D20EFF"/>
    <w:rsid w:val="00D215B9"/>
    <w:rsid w:val="00D23CBF"/>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2CA9"/>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1E7A06"/>
    <w:rsid w:val="01722E9F"/>
    <w:rsid w:val="01915CC2"/>
    <w:rsid w:val="01BF5575"/>
    <w:rsid w:val="01CD7566"/>
    <w:rsid w:val="020016E9"/>
    <w:rsid w:val="02AD3D3C"/>
    <w:rsid w:val="02B77FCE"/>
    <w:rsid w:val="02EB0203"/>
    <w:rsid w:val="02FC0103"/>
    <w:rsid w:val="03031491"/>
    <w:rsid w:val="0317343D"/>
    <w:rsid w:val="0332621A"/>
    <w:rsid w:val="03707503"/>
    <w:rsid w:val="03E72B61"/>
    <w:rsid w:val="040556DD"/>
    <w:rsid w:val="04262466"/>
    <w:rsid w:val="04AD4D42"/>
    <w:rsid w:val="04F47CE0"/>
    <w:rsid w:val="04FC31B0"/>
    <w:rsid w:val="05325F71"/>
    <w:rsid w:val="054D2E98"/>
    <w:rsid w:val="0596513B"/>
    <w:rsid w:val="06093262"/>
    <w:rsid w:val="060F69D4"/>
    <w:rsid w:val="06512EEA"/>
    <w:rsid w:val="06AE129F"/>
    <w:rsid w:val="06EA08E8"/>
    <w:rsid w:val="072D20A4"/>
    <w:rsid w:val="073B420D"/>
    <w:rsid w:val="073C1416"/>
    <w:rsid w:val="07A521D3"/>
    <w:rsid w:val="07C66F31"/>
    <w:rsid w:val="07FB4B48"/>
    <w:rsid w:val="084A1910"/>
    <w:rsid w:val="08585C62"/>
    <w:rsid w:val="08D51B22"/>
    <w:rsid w:val="08E05092"/>
    <w:rsid w:val="09381D91"/>
    <w:rsid w:val="0970184A"/>
    <w:rsid w:val="09A80FE4"/>
    <w:rsid w:val="09A909AA"/>
    <w:rsid w:val="09BF0A3A"/>
    <w:rsid w:val="09CB6A81"/>
    <w:rsid w:val="09DE0562"/>
    <w:rsid w:val="0A173A74"/>
    <w:rsid w:val="0A3D35AB"/>
    <w:rsid w:val="0A542106"/>
    <w:rsid w:val="0A6C4667"/>
    <w:rsid w:val="0AE4604C"/>
    <w:rsid w:val="0B085689"/>
    <w:rsid w:val="0B3A2110"/>
    <w:rsid w:val="0B723658"/>
    <w:rsid w:val="0B9B0234"/>
    <w:rsid w:val="0BB61CF8"/>
    <w:rsid w:val="0BBE711B"/>
    <w:rsid w:val="0BD47173"/>
    <w:rsid w:val="0C0D512F"/>
    <w:rsid w:val="0C13795F"/>
    <w:rsid w:val="0C1741FF"/>
    <w:rsid w:val="0C1B47F2"/>
    <w:rsid w:val="0C1E558E"/>
    <w:rsid w:val="0C4264AA"/>
    <w:rsid w:val="0C566AD6"/>
    <w:rsid w:val="0C6157E5"/>
    <w:rsid w:val="0D091D9A"/>
    <w:rsid w:val="0D307327"/>
    <w:rsid w:val="0D3660F9"/>
    <w:rsid w:val="0D535B80"/>
    <w:rsid w:val="0DB22432"/>
    <w:rsid w:val="0DB63633"/>
    <w:rsid w:val="0DFA7935"/>
    <w:rsid w:val="0E6F3E7F"/>
    <w:rsid w:val="0EBF2DA5"/>
    <w:rsid w:val="0EDC43A3"/>
    <w:rsid w:val="0F452E31"/>
    <w:rsid w:val="0F517A28"/>
    <w:rsid w:val="0F67724C"/>
    <w:rsid w:val="0F9014FA"/>
    <w:rsid w:val="0FAC2EB1"/>
    <w:rsid w:val="10607C4F"/>
    <w:rsid w:val="1065378B"/>
    <w:rsid w:val="106E6418"/>
    <w:rsid w:val="11323C4E"/>
    <w:rsid w:val="11515ABE"/>
    <w:rsid w:val="11AA3420"/>
    <w:rsid w:val="122E26A5"/>
    <w:rsid w:val="12AF2E48"/>
    <w:rsid w:val="12D71D5F"/>
    <w:rsid w:val="12F22414"/>
    <w:rsid w:val="13144FF5"/>
    <w:rsid w:val="13BD568C"/>
    <w:rsid w:val="13E27044"/>
    <w:rsid w:val="143F60A1"/>
    <w:rsid w:val="149A3C1F"/>
    <w:rsid w:val="14C45FA1"/>
    <w:rsid w:val="14EA656D"/>
    <w:rsid w:val="14EF3F6B"/>
    <w:rsid w:val="151B7FB7"/>
    <w:rsid w:val="15233C15"/>
    <w:rsid w:val="15DE18EA"/>
    <w:rsid w:val="15EC04AB"/>
    <w:rsid w:val="167B6427"/>
    <w:rsid w:val="16B27D38"/>
    <w:rsid w:val="16B50981"/>
    <w:rsid w:val="16CD5BE6"/>
    <w:rsid w:val="16D276A1"/>
    <w:rsid w:val="170E6206"/>
    <w:rsid w:val="17283764"/>
    <w:rsid w:val="17481711"/>
    <w:rsid w:val="17716EB9"/>
    <w:rsid w:val="1787048B"/>
    <w:rsid w:val="17A10E21"/>
    <w:rsid w:val="17EA64CC"/>
    <w:rsid w:val="1811244B"/>
    <w:rsid w:val="181C4801"/>
    <w:rsid w:val="182D6FD9"/>
    <w:rsid w:val="183121A5"/>
    <w:rsid w:val="18383533"/>
    <w:rsid w:val="183B1275"/>
    <w:rsid w:val="18552337"/>
    <w:rsid w:val="18C63235"/>
    <w:rsid w:val="18D13410"/>
    <w:rsid w:val="18F85153"/>
    <w:rsid w:val="1930691F"/>
    <w:rsid w:val="199450E1"/>
    <w:rsid w:val="19BB441C"/>
    <w:rsid w:val="19F0332F"/>
    <w:rsid w:val="1A0D074B"/>
    <w:rsid w:val="1A1505DB"/>
    <w:rsid w:val="1A27385F"/>
    <w:rsid w:val="1A6528FE"/>
    <w:rsid w:val="1A835004"/>
    <w:rsid w:val="1AA36A09"/>
    <w:rsid w:val="1AE31E7C"/>
    <w:rsid w:val="1B130F9D"/>
    <w:rsid w:val="1B396499"/>
    <w:rsid w:val="1B4B17D0"/>
    <w:rsid w:val="1BA61F6F"/>
    <w:rsid w:val="1BD21EF1"/>
    <w:rsid w:val="1BFE6842"/>
    <w:rsid w:val="1C454471"/>
    <w:rsid w:val="1C63029E"/>
    <w:rsid w:val="1C715A71"/>
    <w:rsid w:val="1C8054A9"/>
    <w:rsid w:val="1C8431EB"/>
    <w:rsid w:val="1CC921E7"/>
    <w:rsid w:val="1CCD60E9"/>
    <w:rsid w:val="1CE27F12"/>
    <w:rsid w:val="1D1C4205"/>
    <w:rsid w:val="1D253917"/>
    <w:rsid w:val="1D444EB6"/>
    <w:rsid w:val="1D962004"/>
    <w:rsid w:val="1DA840EB"/>
    <w:rsid w:val="1E40164D"/>
    <w:rsid w:val="1E4470D6"/>
    <w:rsid w:val="1F536EA5"/>
    <w:rsid w:val="1F8E01D4"/>
    <w:rsid w:val="2000702C"/>
    <w:rsid w:val="20052895"/>
    <w:rsid w:val="208714FC"/>
    <w:rsid w:val="20C16461"/>
    <w:rsid w:val="20FF5536"/>
    <w:rsid w:val="212B00D9"/>
    <w:rsid w:val="2131393C"/>
    <w:rsid w:val="21521B0A"/>
    <w:rsid w:val="215B66BA"/>
    <w:rsid w:val="216655B5"/>
    <w:rsid w:val="21920158"/>
    <w:rsid w:val="21B55BF5"/>
    <w:rsid w:val="21C81DCC"/>
    <w:rsid w:val="21FC0E84"/>
    <w:rsid w:val="223B259E"/>
    <w:rsid w:val="22433200"/>
    <w:rsid w:val="22513B6F"/>
    <w:rsid w:val="225C2514"/>
    <w:rsid w:val="226F2197"/>
    <w:rsid w:val="22851A6B"/>
    <w:rsid w:val="22DB168B"/>
    <w:rsid w:val="22DF1DE4"/>
    <w:rsid w:val="23146520"/>
    <w:rsid w:val="23316C48"/>
    <w:rsid w:val="23585502"/>
    <w:rsid w:val="23596C26"/>
    <w:rsid w:val="235F406A"/>
    <w:rsid w:val="23C95987"/>
    <w:rsid w:val="23E138B2"/>
    <w:rsid w:val="24577437"/>
    <w:rsid w:val="247D50F0"/>
    <w:rsid w:val="24AF7273"/>
    <w:rsid w:val="24B77ED6"/>
    <w:rsid w:val="250F386E"/>
    <w:rsid w:val="251946ED"/>
    <w:rsid w:val="254F0F2F"/>
    <w:rsid w:val="25B53E66"/>
    <w:rsid w:val="25E82A3D"/>
    <w:rsid w:val="26040EF9"/>
    <w:rsid w:val="262D78EB"/>
    <w:rsid w:val="26AB5818"/>
    <w:rsid w:val="26EF7DFB"/>
    <w:rsid w:val="270A0791"/>
    <w:rsid w:val="27CA60F4"/>
    <w:rsid w:val="27E85AF1"/>
    <w:rsid w:val="28341F69"/>
    <w:rsid w:val="284B06E4"/>
    <w:rsid w:val="28757E8C"/>
    <w:rsid w:val="28C929C1"/>
    <w:rsid w:val="28CC469F"/>
    <w:rsid w:val="295220BC"/>
    <w:rsid w:val="29564161"/>
    <w:rsid w:val="29AA157C"/>
    <w:rsid w:val="29DA6B0B"/>
    <w:rsid w:val="2A093B18"/>
    <w:rsid w:val="2A247DBB"/>
    <w:rsid w:val="2A6308E4"/>
    <w:rsid w:val="2A8D7B4E"/>
    <w:rsid w:val="2A9211C9"/>
    <w:rsid w:val="2ABD245A"/>
    <w:rsid w:val="2AC271E2"/>
    <w:rsid w:val="2AF07C9E"/>
    <w:rsid w:val="2B285689"/>
    <w:rsid w:val="2B2D7144"/>
    <w:rsid w:val="2B412386"/>
    <w:rsid w:val="2B7235E3"/>
    <w:rsid w:val="2B952811"/>
    <w:rsid w:val="2BB34FD2"/>
    <w:rsid w:val="2BB807BB"/>
    <w:rsid w:val="2CA84CD4"/>
    <w:rsid w:val="2CB505CF"/>
    <w:rsid w:val="2CDA349F"/>
    <w:rsid w:val="2CE50B3E"/>
    <w:rsid w:val="2CEA687B"/>
    <w:rsid w:val="2D1633EB"/>
    <w:rsid w:val="2D2D6D36"/>
    <w:rsid w:val="2DD613CD"/>
    <w:rsid w:val="2DE16C1F"/>
    <w:rsid w:val="2DE75388"/>
    <w:rsid w:val="2E020414"/>
    <w:rsid w:val="2E1B2EA1"/>
    <w:rsid w:val="2E30502D"/>
    <w:rsid w:val="2E63511A"/>
    <w:rsid w:val="2EB35320"/>
    <w:rsid w:val="2EC029DE"/>
    <w:rsid w:val="2F111D48"/>
    <w:rsid w:val="2F204FF5"/>
    <w:rsid w:val="2F317872"/>
    <w:rsid w:val="2F3F0C54"/>
    <w:rsid w:val="2F4615DA"/>
    <w:rsid w:val="2F780039"/>
    <w:rsid w:val="306D0ED5"/>
    <w:rsid w:val="3074384E"/>
    <w:rsid w:val="30C23E8A"/>
    <w:rsid w:val="30CE6CD3"/>
    <w:rsid w:val="30ED2B9B"/>
    <w:rsid w:val="30FF7469"/>
    <w:rsid w:val="310741E2"/>
    <w:rsid w:val="31197749"/>
    <w:rsid w:val="312B5ED3"/>
    <w:rsid w:val="31662A68"/>
    <w:rsid w:val="316D3FF0"/>
    <w:rsid w:val="31EF5153"/>
    <w:rsid w:val="320529D7"/>
    <w:rsid w:val="32064BBE"/>
    <w:rsid w:val="32691053"/>
    <w:rsid w:val="327B69E7"/>
    <w:rsid w:val="32805626"/>
    <w:rsid w:val="32A538A5"/>
    <w:rsid w:val="32AA2E28"/>
    <w:rsid w:val="32B85404"/>
    <w:rsid w:val="32C263C3"/>
    <w:rsid w:val="32D103B5"/>
    <w:rsid w:val="32DA195F"/>
    <w:rsid w:val="32EA1FB0"/>
    <w:rsid w:val="330E360D"/>
    <w:rsid w:val="335D5DBF"/>
    <w:rsid w:val="337F76EF"/>
    <w:rsid w:val="33A61841"/>
    <w:rsid w:val="33B37D2E"/>
    <w:rsid w:val="342F292C"/>
    <w:rsid w:val="34796F56"/>
    <w:rsid w:val="34817F7A"/>
    <w:rsid w:val="34902BBB"/>
    <w:rsid w:val="349873DC"/>
    <w:rsid w:val="34DD1B9A"/>
    <w:rsid w:val="352549E8"/>
    <w:rsid w:val="352620DC"/>
    <w:rsid w:val="3529272A"/>
    <w:rsid w:val="356E45E1"/>
    <w:rsid w:val="35956011"/>
    <w:rsid w:val="359F479A"/>
    <w:rsid w:val="35AA7ABF"/>
    <w:rsid w:val="35E5310F"/>
    <w:rsid w:val="362B04F5"/>
    <w:rsid w:val="36415851"/>
    <w:rsid w:val="36484E32"/>
    <w:rsid w:val="3661430F"/>
    <w:rsid w:val="3693351E"/>
    <w:rsid w:val="369B7657"/>
    <w:rsid w:val="369D587E"/>
    <w:rsid w:val="36C464F3"/>
    <w:rsid w:val="36C46BAE"/>
    <w:rsid w:val="36CF1D5D"/>
    <w:rsid w:val="36E763F9"/>
    <w:rsid w:val="370F3BF6"/>
    <w:rsid w:val="37661A13"/>
    <w:rsid w:val="37F478D4"/>
    <w:rsid w:val="382647C3"/>
    <w:rsid w:val="386A108F"/>
    <w:rsid w:val="38ED3A6E"/>
    <w:rsid w:val="38FF3ECD"/>
    <w:rsid w:val="39293004"/>
    <w:rsid w:val="393A0688"/>
    <w:rsid w:val="39882115"/>
    <w:rsid w:val="39E10D60"/>
    <w:rsid w:val="3A061951"/>
    <w:rsid w:val="3A0D4272"/>
    <w:rsid w:val="3A316138"/>
    <w:rsid w:val="3A3F654C"/>
    <w:rsid w:val="3A4D2A17"/>
    <w:rsid w:val="3A6F1481"/>
    <w:rsid w:val="3A7C154E"/>
    <w:rsid w:val="3AAA60BB"/>
    <w:rsid w:val="3AD62A0C"/>
    <w:rsid w:val="3B304812"/>
    <w:rsid w:val="3B567FF1"/>
    <w:rsid w:val="3BFC5E74"/>
    <w:rsid w:val="3C0059BB"/>
    <w:rsid w:val="3C061450"/>
    <w:rsid w:val="3C177780"/>
    <w:rsid w:val="3C1E28BD"/>
    <w:rsid w:val="3C30439E"/>
    <w:rsid w:val="3C5F3E33"/>
    <w:rsid w:val="3C737C35"/>
    <w:rsid w:val="3C9A245F"/>
    <w:rsid w:val="3C9F32D2"/>
    <w:rsid w:val="3CA1704A"/>
    <w:rsid w:val="3CBB58DC"/>
    <w:rsid w:val="3CEA279F"/>
    <w:rsid w:val="3D1A0D8B"/>
    <w:rsid w:val="3D4C411A"/>
    <w:rsid w:val="3E077380"/>
    <w:rsid w:val="3E083824"/>
    <w:rsid w:val="3E18158D"/>
    <w:rsid w:val="3E1B2743"/>
    <w:rsid w:val="3E6B790F"/>
    <w:rsid w:val="3EAB2402"/>
    <w:rsid w:val="3ECF60F0"/>
    <w:rsid w:val="3ED44AB3"/>
    <w:rsid w:val="3EDC5045"/>
    <w:rsid w:val="3EE871B2"/>
    <w:rsid w:val="3F2F3033"/>
    <w:rsid w:val="3F4C14EF"/>
    <w:rsid w:val="3F5E4365"/>
    <w:rsid w:val="3FE67B95"/>
    <w:rsid w:val="3FFC231A"/>
    <w:rsid w:val="405C0E8C"/>
    <w:rsid w:val="406C796F"/>
    <w:rsid w:val="408353E4"/>
    <w:rsid w:val="415470E2"/>
    <w:rsid w:val="41AF5742"/>
    <w:rsid w:val="41BB759E"/>
    <w:rsid w:val="41DC736C"/>
    <w:rsid w:val="41E41EB2"/>
    <w:rsid w:val="4246491B"/>
    <w:rsid w:val="42497F67"/>
    <w:rsid w:val="42B740A7"/>
    <w:rsid w:val="42D27F5D"/>
    <w:rsid w:val="430D3E24"/>
    <w:rsid w:val="4353477A"/>
    <w:rsid w:val="43650DD1"/>
    <w:rsid w:val="437D239C"/>
    <w:rsid w:val="43931DE2"/>
    <w:rsid w:val="43B81849"/>
    <w:rsid w:val="43C05511"/>
    <w:rsid w:val="43E837B0"/>
    <w:rsid w:val="44295503"/>
    <w:rsid w:val="44556451"/>
    <w:rsid w:val="446B6021"/>
    <w:rsid w:val="447F2366"/>
    <w:rsid w:val="44BE7C71"/>
    <w:rsid w:val="44E328F5"/>
    <w:rsid w:val="44EC3D41"/>
    <w:rsid w:val="45260A34"/>
    <w:rsid w:val="45E00BE3"/>
    <w:rsid w:val="45F445D0"/>
    <w:rsid w:val="45FC7108"/>
    <w:rsid w:val="461B39A4"/>
    <w:rsid w:val="464F5D68"/>
    <w:rsid w:val="465D2233"/>
    <w:rsid w:val="467B090B"/>
    <w:rsid w:val="47225F16"/>
    <w:rsid w:val="473A7BED"/>
    <w:rsid w:val="475D29A6"/>
    <w:rsid w:val="477511F9"/>
    <w:rsid w:val="477C2B8D"/>
    <w:rsid w:val="47863A67"/>
    <w:rsid w:val="478F71C4"/>
    <w:rsid w:val="47A63F92"/>
    <w:rsid w:val="4821786A"/>
    <w:rsid w:val="4825146D"/>
    <w:rsid w:val="484F02A2"/>
    <w:rsid w:val="48580F04"/>
    <w:rsid w:val="48833858"/>
    <w:rsid w:val="48E11E8F"/>
    <w:rsid w:val="49627B61"/>
    <w:rsid w:val="4A056E6A"/>
    <w:rsid w:val="4A112CB4"/>
    <w:rsid w:val="4A1505F1"/>
    <w:rsid w:val="4A413C1A"/>
    <w:rsid w:val="4A6169D0"/>
    <w:rsid w:val="4A62202B"/>
    <w:rsid w:val="4A7162AD"/>
    <w:rsid w:val="4ACF7478"/>
    <w:rsid w:val="4B014864"/>
    <w:rsid w:val="4B797B0F"/>
    <w:rsid w:val="4B7C13AE"/>
    <w:rsid w:val="4B954E7C"/>
    <w:rsid w:val="4C12586E"/>
    <w:rsid w:val="4C16106C"/>
    <w:rsid w:val="4C5B5467"/>
    <w:rsid w:val="4C975D73"/>
    <w:rsid w:val="4CA94424"/>
    <w:rsid w:val="4CBE1552"/>
    <w:rsid w:val="4D1F575B"/>
    <w:rsid w:val="4D4E6D7A"/>
    <w:rsid w:val="4D924C82"/>
    <w:rsid w:val="4DB74F29"/>
    <w:rsid w:val="4E407554"/>
    <w:rsid w:val="4E6B046C"/>
    <w:rsid w:val="4E707289"/>
    <w:rsid w:val="4E9E4717"/>
    <w:rsid w:val="4EEA3D40"/>
    <w:rsid w:val="4F00728A"/>
    <w:rsid w:val="4F3F6AB1"/>
    <w:rsid w:val="4F5D071B"/>
    <w:rsid w:val="4F7B197C"/>
    <w:rsid w:val="4F8D6E93"/>
    <w:rsid w:val="4F9A0D8E"/>
    <w:rsid w:val="4F9B688F"/>
    <w:rsid w:val="4FBA252D"/>
    <w:rsid w:val="4FC335E9"/>
    <w:rsid w:val="4FF0236A"/>
    <w:rsid w:val="50267B3A"/>
    <w:rsid w:val="503F0BFC"/>
    <w:rsid w:val="508D1967"/>
    <w:rsid w:val="508F1B83"/>
    <w:rsid w:val="50AA42C7"/>
    <w:rsid w:val="50AF18DD"/>
    <w:rsid w:val="50C17FD9"/>
    <w:rsid w:val="510A120A"/>
    <w:rsid w:val="51705511"/>
    <w:rsid w:val="51890EDF"/>
    <w:rsid w:val="51B82A14"/>
    <w:rsid w:val="527F3531"/>
    <w:rsid w:val="528D5C4E"/>
    <w:rsid w:val="52D66288"/>
    <w:rsid w:val="52E767E5"/>
    <w:rsid w:val="52F21F55"/>
    <w:rsid w:val="5302488E"/>
    <w:rsid w:val="53177C0E"/>
    <w:rsid w:val="53820857"/>
    <w:rsid w:val="538B0F44"/>
    <w:rsid w:val="53A56FC8"/>
    <w:rsid w:val="53C53A0C"/>
    <w:rsid w:val="53DF697E"/>
    <w:rsid w:val="54087D99"/>
    <w:rsid w:val="54180096"/>
    <w:rsid w:val="54330A77"/>
    <w:rsid w:val="54930741"/>
    <w:rsid w:val="54A72003"/>
    <w:rsid w:val="54C85664"/>
    <w:rsid w:val="550E6FBC"/>
    <w:rsid w:val="551E5284"/>
    <w:rsid w:val="555016E8"/>
    <w:rsid w:val="555B2034"/>
    <w:rsid w:val="55DA38A0"/>
    <w:rsid w:val="55FB6329"/>
    <w:rsid w:val="56023921"/>
    <w:rsid w:val="56026953"/>
    <w:rsid w:val="563D5BDD"/>
    <w:rsid w:val="56B04601"/>
    <w:rsid w:val="56E21D93"/>
    <w:rsid w:val="57174680"/>
    <w:rsid w:val="57567448"/>
    <w:rsid w:val="5774311B"/>
    <w:rsid w:val="57A10134"/>
    <w:rsid w:val="57D32355"/>
    <w:rsid w:val="5809250B"/>
    <w:rsid w:val="58120B24"/>
    <w:rsid w:val="581F37ED"/>
    <w:rsid w:val="58393E55"/>
    <w:rsid w:val="588F7EBA"/>
    <w:rsid w:val="58D740C7"/>
    <w:rsid w:val="592D1F39"/>
    <w:rsid w:val="5A3617D9"/>
    <w:rsid w:val="5A7F6B6C"/>
    <w:rsid w:val="5AB521E6"/>
    <w:rsid w:val="5AFB613D"/>
    <w:rsid w:val="5B406AE9"/>
    <w:rsid w:val="5B57504B"/>
    <w:rsid w:val="5B884B20"/>
    <w:rsid w:val="5BC0556E"/>
    <w:rsid w:val="5BC81C40"/>
    <w:rsid w:val="5C285A6D"/>
    <w:rsid w:val="5C3929A3"/>
    <w:rsid w:val="5C4557EC"/>
    <w:rsid w:val="5CCE57E1"/>
    <w:rsid w:val="5D2673CB"/>
    <w:rsid w:val="5DA327CA"/>
    <w:rsid w:val="5DCA5FA9"/>
    <w:rsid w:val="5E325C5F"/>
    <w:rsid w:val="5E68756F"/>
    <w:rsid w:val="5E7A5C21"/>
    <w:rsid w:val="5E824AD5"/>
    <w:rsid w:val="5F5E7D90"/>
    <w:rsid w:val="5F6464FD"/>
    <w:rsid w:val="5FD21144"/>
    <w:rsid w:val="5FD74633"/>
    <w:rsid w:val="607C7302"/>
    <w:rsid w:val="60E412C0"/>
    <w:rsid w:val="6109328C"/>
    <w:rsid w:val="613A51F3"/>
    <w:rsid w:val="614E5143"/>
    <w:rsid w:val="619F774C"/>
    <w:rsid w:val="61C62F2B"/>
    <w:rsid w:val="61D03DA9"/>
    <w:rsid w:val="61E323AE"/>
    <w:rsid w:val="623331AC"/>
    <w:rsid w:val="62436395"/>
    <w:rsid w:val="625772C4"/>
    <w:rsid w:val="6260512D"/>
    <w:rsid w:val="628250A4"/>
    <w:rsid w:val="62CC4571"/>
    <w:rsid w:val="62D81168"/>
    <w:rsid w:val="62EA49F7"/>
    <w:rsid w:val="634E4C58"/>
    <w:rsid w:val="636F3034"/>
    <w:rsid w:val="637013A0"/>
    <w:rsid w:val="643968CF"/>
    <w:rsid w:val="64654DEB"/>
    <w:rsid w:val="64790728"/>
    <w:rsid w:val="6481138B"/>
    <w:rsid w:val="650516A8"/>
    <w:rsid w:val="65330581"/>
    <w:rsid w:val="653F727C"/>
    <w:rsid w:val="655C29BA"/>
    <w:rsid w:val="657D7DA4"/>
    <w:rsid w:val="657E3510"/>
    <w:rsid w:val="65830E72"/>
    <w:rsid w:val="65B60346"/>
    <w:rsid w:val="662841B4"/>
    <w:rsid w:val="66293A88"/>
    <w:rsid w:val="66327BF7"/>
    <w:rsid w:val="666816AB"/>
    <w:rsid w:val="66846F11"/>
    <w:rsid w:val="669C425A"/>
    <w:rsid w:val="66AE7C9D"/>
    <w:rsid w:val="66E81280"/>
    <w:rsid w:val="6742045E"/>
    <w:rsid w:val="67A41618"/>
    <w:rsid w:val="68106CAE"/>
    <w:rsid w:val="683463FA"/>
    <w:rsid w:val="689E250C"/>
    <w:rsid w:val="68B7181F"/>
    <w:rsid w:val="69110DD3"/>
    <w:rsid w:val="691D526F"/>
    <w:rsid w:val="6931512E"/>
    <w:rsid w:val="6962178B"/>
    <w:rsid w:val="69676D3F"/>
    <w:rsid w:val="6A2829D5"/>
    <w:rsid w:val="6A2E3597"/>
    <w:rsid w:val="6B340F05"/>
    <w:rsid w:val="6B6A4927"/>
    <w:rsid w:val="6C1F0B83"/>
    <w:rsid w:val="6C223527"/>
    <w:rsid w:val="6C2A0022"/>
    <w:rsid w:val="6C2C7E2E"/>
    <w:rsid w:val="6C635F46"/>
    <w:rsid w:val="6C8D150C"/>
    <w:rsid w:val="6CBC7404"/>
    <w:rsid w:val="6CE20D63"/>
    <w:rsid w:val="6CE35249"/>
    <w:rsid w:val="6D1946ED"/>
    <w:rsid w:val="6D806684"/>
    <w:rsid w:val="6DAF6F69"/>
    <w:rsid w:val="6E39711A"/>
    <w:rsid w:val="6E617BE5"/>
    <w:rsid w:val="6E6543CB"/>
    <w:rsid w:val="6E997D6C"/>
    <w:rsid w:val="6EA97E5C"/>
    <w:rsid w:val="6EBD1212"/>
    <w:rsid w:val="6EC16F54"/>
    <w:rsid w:val="6EC209A2"/>
    <w:rsid w:val="6EEF1D13"/>
    <w:rsid w:val="6EF616F6"/>
    <w:rsid w:val="6EFA5250"/>
    <w:rsid w:val="6F20789B"/>
    <w:rsid w:val="6F5D575B"/>
    <w:rsid w:val="6F9D0A17"/>
    <w:rsid w:val="6FA56875"/>
    <w:rsid w:val="6FEC5E2D"/>
    <w:rsid w:val="700A07DC"/>
    <w:rsid w:val="704C20EE"/>
    <w:rsid w:val="706758D9"/>
    <w:rsid w:val="70CE6331"/>
    <w:rsid w:val="70FA2DDB"/>
    <w:rsid w:val="71107D1F"/>
    <w:rsid w:val="711264ED"/>
    <w:rsid w:val="711A294B"/>
    <w:rsid w:val="71245578"/>
    <w:rsid w:val="712E63F7"/>
    <w:rsid w:val="71467526"/>
    <w:rsid w:val="71705FC9"/>
    <w:rsid w:val="719C5CF7"/>
    <w:rsid w:val="71C37C61"/>
    <w:rsid w:val="72322D6E"/>
    <w:rsid w:val="726E2F4F"/>
    <w:rsid w:val="72C62D8B"/>
    <w:rsid w:val="731C6E4F"/>
    <w:rsid w:val="737E3231"/>
    <w:rsid w:val="74237D69"/>
    <w:rsid w:val="74286545"/>
    <w:rsid w:val="749F3F6D"/>
    <w:rsid w:val="74E25E76"/>
    <w:rsid w:val="74FC2405"/>
    <w:rsid w:val="75071439"/>
    <w:rsid w:val="754058DD"/>
    <w:rsid w:val="75526B58"/>
    <w:rsid w:val="75F76214"/>
    <w:rsid w:val="763B3A90"/>
    <w:rsid w:val="76785D49"/>
    <w:rsid w:val="76D57A40"/>
    <w:rsid w:val="771A04F8"/>
    <w:rsid w:val="77957A74"/>
    <w:rsid w:val="77C91904"/>
    <w:rsid w:val="77D221D2"/>
    <w:rsid w:val="77D72EA3"/>
    <w:rsid w:val="78390168"/>
    <w:rsid w:val="78436C2C"/>
    <w:rsid w:val="784A4B73"/>
    <w:rsid w:val="786924FD"/>
    <w:rsid w:val="78BD7C35"/>
    <w:rsid w:val="790C3A3C"/>
    <w:rsid w:val="7956629B"/>
    <w:rsid w:val="79752C88"/>
    <w:rsid w:val="79872B48"/>
    <w:rsid w:val="799B26EC"/>
    <w:rsid w:val="79A67426"/>
    <w:rsid w:val="79EB6573"/>
    <w:rsid w:val="7A0C71D9"/>
    <w:rsid w:val="7A214D4A"/>
    <w:rsid w:val="7A434CC1"/>
    <w:rsid w:val="7A4B2370"/>
    <w:rsid w:val="7A5B3FA8"/>
    <w:rsid w:val="7A9550F2"/>
    <w:rsid w:val="7AB45BBF"/>
    <w:rsid w:val="7AFB1A3F"/>
    <w:rsid w:val="7B0E5C23"/>
    <w:rsid w:val="7B22521E"/>
    <w:rsid w:val="7B272834"/>
    <w:rsid w:val="7B3D5BB4"/>
    <w:rsid w:val="7B971768"/>
    <w:rsid w:val="7BA174E1"/>
    <w:rsid w:val="7BBF481B"/>
    <w:rsid w:val="7BC04FC3"/>
    <w:rsid w:val="7BEB3F96"/>
    <w:rsid w:val="7C080487"/>
    <w:rsid w:val="7C6F7FEF"/>
    <w:rsid w:val="7CA72746"/>
    <w:rsid w:val="7CB65C1E"/>
    <w:rsid w:val="7CEE6911"/>
    <w:rsid w:val="7DB03FF9"/>
    <w:rsid w:val="7DC30A8A"/>
    <w:rsid w:val="7DC33C3F"/>
    <w:rsid w:val="7DDB345D"/>
    <w:rsid w:val="7EA81A90"/>
    <w:rsid w:val="7EBB59D9"/>
    <w:rsid w:val="7ED71E7C"/>
    <w:rsid w:val="7F2B14FE"/>
    <w:rsid w:val="7FA123EB"/>
    <w:rsid w:val="7FA95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7"/>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9"/>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4"/>
    <w:qFormat/>
    <w:uiPriority w:val="0"/>
    <w:pPr>
      <w:keepNext/>
      <w:keepLines/>
      <w:spacing w:before="280" w:after="290" w:line="376" w:lineRule="auto"/>
      <w:outlineLvl w:val="3"/>
    </w:pPr>
    <w:rPr>
      <w:b/>
      <w:bCs/>
      <w:sz w:val="28"/>
      <w:szCs w:val="28"/>
    </w:rPr>
  </w:style>
  <w:style w:type="character" w:default="1" w:styleId="25">
    <w:name w:val="Default Paragraph Font"/>
    <w:autoRedefine/>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6"/>
    <w:qFormat/>
    <w:uiPriority w:val="0"/>
    <w:pPr>
      <w:jc w:val="left"/>
    </w:pPr>
    <w:rPr>
      <w:rFonts w:ascii="Arial" w:hAnsi="Arial" w:eastAsia="黑体" w:cs="Arial"/>
    </w:rPr>
  </w:style>
  <w:style w:type="paragraph" w:styleId="8">
    <w:name w:val="Body Text"/>
    <w:basedOn w:val="1"/>
    <w:link w:val="65"/>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keepNext w:val="0"/>
      <w:keepLines w:val="0"/>
      <w:widowControl/>
      <w:suppressLineNumbers w:val="0"/>
      <w:spacing w:before="0" w:beforeAutospacing="0" w:after="120" w:afterAutospacing="0" w:line="357" w:lineRule="atLeast"/>
      <w:ind w:left="420" w:leftChars="200" w:right="0"/>
      <w:jc w:val="both"/>
    </w:pPr>
    <w:rPr>
      <w:rFonts w:hint="default" w:ascii="Times New Roman" w:hAnsi="Times New Roman" w:eastAsia="宋体" w:cs="Times New Roman"/>
      <w:color w:val="000000"/>
      <w:kern w:val="0"/>
      <w:sz w:val="21"/>
      <w:szCs w:val="20"/>
      <w:lang w:val="en-US" w:eastAsia="zh-CN" w:bidi="ar"/>
    </w:rPr>
  </w:style>
  <w:style w:type="paragraph" w:styleId="10">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45"/>
    <w:qFormat/>
    <w:uiPriority w:val="99"/>
    <w:rPr>
      <w:rFonts w:ascii="宋体" w:hAnsi="Courier New" w:eastAsiaTheme="minorEastAsia" w:cstheme="minorBidi"/>
      <w:szCs w:val="22"/>
    </w:rPr>
  </w:style>
  <w:style w:type="paragraph" w:styleId="12">
    <w:name w:val="Date"/>
    <w:basedOn w:val="1"/>
    <w:next w:val="1"/>
    <w:link w:val="52"/>
    <w:autoRedefine/>
    <w:qFormat/>
    <w:uiPriority w:val="0"/>
    <w:rPr>
      <w:rFonts w:ascii="Arial" w:hAnsi="Arial" w:eastAsia="宋体" w:cs="Arial"/>
      <w:b/>
      <w:sz w:val="28"/>
    </w:rPr>
  </w:style>
  <w:style w:type="paragraph" w:styleId="13">
    <w:name w:val="Balloon Text"/>
    <w:basedOn w:val="1"/>
    <w:link w:val="39"/>
    <w:semiHidden/>
    <w:unhideWhenUsed/>
    <w:qFormat/>
    <w:uiPriority w:val="99"/>
    <w:rPr>
      <w:sz w:val="18"/>
      <w:szCs w:val="18"/>
    </w:rPr>
  </w:style>
  <w:style w:type="paragraph" w:styleId="14">
    <w:name w:val="footer"/>
    <w:basedOn w:val="1"/>
    <w:link w:val="44"/>
    <w:autoRedefine/>
    <w:unhideWhenUsed/>
    <w:qFormat/>
    <w:uiPriority w:val="99"/>
    <w:pPr>
      <w:tabs>
        <w:tab w:val="center" w:pos="4153"/>
        <w:tab w:val="right" w:pos="8306"/>
      </w:tabs>
      <w:snapToGrid w:val="0"/>
      <w:jc w:val="left"/>
    </w:pPr>
    <w:rPr>
      <w:sz w:val="18"/>
      <w:szCs w:val="18"/>
    </w:rPr>
  </w:style>
  <w:style w:type="paragraph" w:styleId="15">
    <w:name w:val="header"/>
    <w:basedOn w:val="1"/>
    <w:next w:val="8"/>
    <w:link w:val="4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next w:val="19"/>
    <w:qFormat/>
    <w:uiPriority w:val="0"/>
    <w:pPr>
      <w:spacing w:before="100" w:beforeAutospacing="1" w:after="100" w:afterAutospacing="1"/>
      <w:jc w:val="left"/>
    </w:pPr>
    <w:rPr>
      <w:rFonts w:cs="Times New Roman"/>
      <w:kern w:val="0"/>
      <w:sz w:val="24"/>
    </w:rPr>
  </w:style>
  <w:style w:type="paragraph" w:customStyle="1" w:styleId="19">
    <w:name w:val="正文文字 8"/>
    <w:basedOn w:val="1"/>
    <w:next w:val="1"/>
    <w:qFormat/>
    <w:uiPriority w:val="0"/>
    <w:pPr>
      <w:ind w:left="240"/>
    </w:pPr>
    <w:rPr>
      <w:sz w:val="16"/>
    </w:rPr>
  </w:style>
  <w:style w:type="paragraph" w:styleId="20">
    <w:name w:val="index 1"/>
    <w:basedOn w:val="1"/>
    <w:next w:val="1"/>
    <w:qFormat/>
    <w:uiPriority w:val="0"/>
    <w:pPr>
      <w:jc w:val="center"/>
    </w:pPr>
    <w:rPr>
      <w:rFonts w:ascii="Arial" w:hAnsi="Arial" w:eastAsia="Arial" w:cs="Arial"/>
      <w:b/>
      <w:bCs/>
      <w:sz w:val="28"/>
    </w:rPr>
  </w:style>
  <w:style w:type="paragraph" w:styleId="21">
    <w:name w:val="Body Text First Indent"/>
    <w:basedOn w:val="8"/>
    <w:unhideWhenUsed/>
    <w:qFormat/>
    <w:uiPriority w:val="99"/>
    <w:pPr>
      <w:ind w:firstLine="420" w:firstLineChars="100"/>
    </w:pPr>
  </w:style>
  <w:style w:type="paragraph" w:styleId="22">
    <w:name w:val="Body Text First Indent 2"/>
    <w:basedOn w:val="9"/>
    <w:next w:val="1"/>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0"/>
      <w:lang w:val="en-US" w:eastAsia="zh-CN" w:bidi="ar"/>
    </w:rPr>
  </w:style>
  <w:style w:type="table" w:styleId="24">
    <w:name w:val="Table Grid"/>
    <w:basedOn w:val="2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0"/>
    <w:rPr>
      <w:b/>
      <w:bCs/>
    </w:rPr>
  </w:style>
  <w:style w:type="character" w:styleId="27">
    <w:name w:val="FollowedHyperlink"/>
    <w:basedOn w:val="25"/>
    <w:autoRedefine/>
    <w:semiHidden/>
    <w:unhideWhenUsed/>
    <w:qFormat/>
    <w:uiPriority w:val="99"/>
    <w:rPr>
      <w:color w:val="800080"/>
      <w:u w:val="none"/>
    </w:rPr>
  </w:style>
  <w:style w:type="character" w:styleId="28">
    <w:name w:val="Emphasis"/>
    <w:basedOn w:val="25"/>
    <w:qFormat/>
    <w:uiPriority w:val="20"/>
    <w:rPr>
      <w:b/>
      <w:bCs/>
    </w:rPr>
  </w:style>
  <w:style w:type="character" w:styleId="29">
    <w:name w:val="HTML Definition"/>
    <w:basedOn w:val="25"/>
    <w:semiHidden/>
    <w:unhideWhenUsed/>
    <w:qFormat/>
    <w:uiPriority w:val="99"/>
  </w:style>
  <w:style w:type="character" w:styleId="30">
    <w:name w:val="HTML Typewriter"/>
    <w:basedOn w:val="25"/>
    <w:semiHidden/>
    <w:unhideWhenUsed/>
    <w:qFormat/>
    <w:uiPriority w:val="99"/>
    <w:rPr>
      <w:rFonts w:hint="default" w:ascii="monospace" w:hAnsi="monospace" w:eastAsia="monospace" w:cs="monospace"/>
      <w:sz w:val="20"/>
    </w:rPr>
  </w:style>
  <w:style w:type="character" w:styleId="31">
    <w:name w:val="HTML Acronym"/>
    <w:basedOn w:val="25"/>
    <w:semiHidden/>
    <w:unhideWhenUsed/>
    <w:qFormat/>
    <w:uiPriority w:val="99"/>
    <w:rPr>
      <w:rFonts w:hint="eastAsia" w:ascii="微软雅黑" w:hAnsi="微软雅黑" w:eastAsia="微软雅黑" w:cs="微软雅黑"/>
      <w:b/>
      <w:bCs/>
      <w:sz w:val="33"/>
      <w:szCs w:val="33"/>
      <w:shd w:val="clear" w:color="auto" w:fill="FE8F00"/>
    </w:rPr>
  </w:style>
  <w:style w:type="character" w:styleId="32">
    <w:name w:val="HTML Variable"/>
    <w:basedOn w:val="25"/>
    <w:semiHidden/>
    <w:unhideWhenUsed/>
    <w:qFormat/>
    <w:uiPriority w:val="99"/>
  </w:style>
  <w:style w:type="character" w:styleId="33">
    <w:name w:val="Hyperlink"/>
    <w:basedOn w:val="25"/>
    <w:unhideWhenUsed/>
    <w:qFormat/>
    <w:uiPriority w:val="99"/>
    <w:rPr>
      <w:color w:val="0000FF" w:themeColor="hyperlink"/>
      <w:u w:val="single"/>
      <w14:textFill>
        <w14:solidFill>
          <w14:schemeClr w14:val="hlink"/>
        </w14:solidFill>
      </w14:textFill>
    </w:rPr>
  </w:style>
  <w:style w:type="character" w:styleId="34">
    <w:name w:val="HTML Code"/>
    <w:basedOn w:val="25"/>
    <w:semiHidden/>
    <w:unhideWhenUsed/>
    <w:qFormat/>
    <w:uiPriority w:val="99"/>
    <w:rPr>
      <w:rFonts w:ascii="monospace" w:hAnsi="monospace" w:eastAsia="monospace" w:cs="monospace"/>
      <w:sz w:val="20"/>
    </w:rPr>
  </w:style>
  <w:style w:type="character" w:styleId="35">
    <w:name w:val="HTML Cite"/>
    <w:basedOn w:val="25"/>
    <w:semiHidden/>
    <w:unhideWhenUsed/>
    <w:qFormat/>
    <w:uiPriority w:val="99"/>
  </w:style>
  <w:style w:type="character" w:styleId="36">
    <w:name w:val="HTML Keyboard"/>
    <w:basedOn w:val="25"/>
    <w:semiHidden/>
    <w:unhideWhenUsed/>
    <w:qFormat/>
    <w:uiPriority w:val="99"/>
    <w:rPr>
      <w:rFonts w:hint="default" w:ascii="monospace" w:hAnsi="monospace" w:eastAsia="monospace" w:cs="monospace"/>
      <w:sz w:val="20"/>
    </w:rPr>
  </w:style>
  <w:style w:type="character" w:styleId="37">
    <w:name w:val="HTML Sample"/>
    <w:basedOn w:val="25"/>
    <w:semiHidden/>
    <w:unhideWhenUsed/>
    <w:qFormat/>
    <w:uiPriority w:val="99"/>
    <w:rPr>
      <w:rFonts w:hint="default" w:ascii="monospace" w:hAnsi="monospace" w:eastAsia="monospace" w:cs="monospace"/>
    </w:rPr>
  </w:style>
  <w:style w:type="paragraph" w:customStyle="1" w:styleId="38">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39">
    <w:name w:val="批注框文本 字符"/>
    <w:basedOn w:val="25"/>
    <w:link w:val="13"/>
    <w:semiHidden/>
    <w:qFormat/>
    <w:uiPriority w:val="99"/>
    <w:rPr>
      <w:rFonts w:ascii="@仿宋_GB2312" w:hAnsi="@仿宋_GB2312" w:eastAsia="@仿宋_GB2312" w:cs="@仿宋_GB2312"/>
      <w:sz w:val="18"/>
      <w:szCs w:val="18"/>
    </w:rPr>
  </w:style>
  <w:style w:type="paragraph" w:customStyle="1" w:styleId="40">
    <w:name w:val="正文（缩进）"/>
    <w:basedOn w:val="1"/>
    <w:qFormat/>
    <w:uiPriority w:val="0"/>
    <w:pPr>
      <w:widowControl/>
      <w:spacing w:before="156" w:after="156"/>
      <w:ind w:firstLine="480" w:firstLineChars="200"/>
      <w:jc w:val="left"/>
    </w:pPr>
    <w:rPr>
      <w:kern w:val="0"/>
      <w:sz w:val="24"/>
      <w:szCs w:val="24"/>
    </w:rPr>
  </w:style>
  <w:style w:type="paragraph" w:customStyle="1" w:styleId="41">
    <w:name w:val="xl31"/>
    <w:basedOn w:val="1"/>
    <w:qFormat/>
    <w:uiPriority w:val="0"/>
    <w:pPr>
      <w:widowControl/>
      <w:spacing w:before="100" w:beforeAutospacing="1" w:after="100" w:afterAutospacing="1"/>
      <w:jc w:val="center"/>
    </w:pPr>
    <w:rPr>
      <w:b/>
      <w:bCs/>
      <w:kern w:val="0"/>
      <w:sz w:val="28"/>
      <w:szCs w:val="28"/>
    </w:rPr>
  </w:style>
  <w:style w:type="paragraph" w:customStyle="1" w:styleId="42">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3">
    <w:name w:val="页眉 字符"/>
    <w:basedOn w:val="25"/>
    <w:link w:val="15"/>
    <w:autoRedefine/>
    <w:qFormat/>
    <w:uiPriority w:val="0"/>
    <w:rPr>
      <w:rFonts w:ascii="@仿宋_GB2312" w:hAnsi="@仿宋_GB2312" w:eastAsia="@仿宋_GB2312" w:cs="@仿宋_GB2312"/>
      <w:sz w:val="18"/>
      <w:szCs w:val="18"/>
    </w:rPr>
  </w:style>
  <w:style w:type="character" w:customStyle="1" w:styleId="44">
    <w:name w:val="页脚 字符"/>
    <w:basedOn w:val="25"/>
    <w:link w:val="14"/>
    <w:autoRedefine/>
    <w:qFormat/>
    <w:uiPriority w:val="99"/>
    <w:rPr>
      <w:rFonts w:ascii="@仿宋_GB2312" w:hAnsi="@仿宋_GB2312" w:eastAsia="@仿宋_GB2312" w:cs="@仿宋_GB2312"/>
      <w:sz w:val="18"/>
      <w:szCs w:val="18"/>
    </w:rPr>
  </w:style>
  <w:style w:type="character" w:customStyle="1" w:styleId="45">
    <w:name w:val="纯文本 字符"/>
    <w:link w:val="11"/>
    <w:autoRedefine/>
    <w:qFormat/>
    <w:uiPriority w:val="0"/>
    <w:rPr>
      <w:rFonts w:ascii="宋体" w:hAnsi="Courier New"/>
    </w:rPr>
  </w:style>
  <w:style w:type="character" w:customStyle="1" w:styleId="46">
    <w:name w:val="纯文本 字符1"/>
    <w:basedOn w:val="25"/>
    <w:autoRedefine/>
    <w:semiHidden/>
    <w:qFormat/>
    <w:uiPriority w:val="99"/>
    <w:rPr>
      <w:rFonts w:hAnsi="Courier New" w:cs="Courier New" w:asciiTheme="minorEastAsia"/>
      <w:szCs w:val="20"/>
    </w:rPr>
  </w:style>
  <w:style w:type="character" w:customStyle="1" w:styleId="47">
    <w:name w:val="未处理的提及1"/>
    <w:basedOn w:val="25"/>
    <w:autoRedefine/>
    <w:semiHidden/>
    <w:unhideWhenUsed/>
    <w:qFormat/>
    <w:uiPriority w:val="99"/>
    <w:rPr>
      <w:color w:val="605E5C"/>
      <w:shd w:val="clear" w:color="auto" w:fill="E1DFDD"/>
    </w:rPr>
  </w:style>
  <w:style w:type="paragraph" w:styleId="48">
    <w:name w:val="List Paragraph"/>
    <w:basedOn w:val="1"/>
    <w:autoRedefine/>
    <w:qFormat/>
    <w:uiPriority w:val="34"/>
    <w:pPr>
      <w:ind w:firstLine="420" w:firstLineChars="200"/>
    </w:pPr>
  </w:style>
  <w:style w:type="paragraph" w:customStyle="1" w:styleId="49">
    <w:name w:val="Char Char Char Char Char Char Char1 Char"/>
    <w:basedOn w:val="1"/>
    <w:qFormat/>
    <w:uiPriority w:val="0"/>
    <w:rPr>
      <w:rFonts w:ascii="Arial" w:hAnsi="Arial" w:eastAsia="宋体" w:cs="Arial"/>
      <w:sz w:val="24"/>
    </w:rPr>
  </w:style>
  <w:style w:type="table" w:customStyle="1" w:styleId="50">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1">
    <w:name w:val="日期 字符"/>
    <w:basedOn w:val="25"/>
    <w:autoRedefine/>
    <w:semiHidden/>
    <w:qFormat/>
    <w:uiPriority w:val="99"/>
    <w:rPr>
      <w:rFonts w:ascii="@仿宋_GB2312" w:hAnsi="@仿宋_GB2312" w:eastAsia="@仿宋_GB2312" w:cs="@仿宋_GB2312"/>
      <w:szCs w:val="20"/>
    </w:rPr>
  </w:style>
  <w:style w:type="character" w:customStyle="1" w:styleId="52">
    <w:name w:val="日期 字符1"/>
    <w:link w:val="12"/>
    <w:qFormat/>
    <w:uiPriority w:val="0"/>
    <w:rPr>
      <w:rFonts w:ascii="Arial" w:hAnsi="Arial" w:eastAsia="宋体" w:cs="Arial"/>
      <w:b/>
      <w:sz w:val="28"/>
      <w:szCs w:val="20"/>
    </w:rPr>
  </w:style>
  <w:style w:type="character" w:customStyle="1" w:styleId="53">
    <w:name w:val="纯文本 Char1"/>
    <w:link w:val="54"/>
    <w:autoRedefine/>
    <w:qFormat/>
    <w:locked/>
    <w:uiPriority w:val="0"/>
    <w:rPr>
      <w:rFonts w:ascii="Arial" w:hAnsi="Arial" w:eastAsia="Arial"/>
      <w:kern w:val="2"/>
      <w:sz w:val="21"/>
      <w:lang w:val="en-US" w:eastAsia="zh-CN" w:bidi="ar-SA"/>
    </w:rPr>
  </w:style>
  <w:style w:type="paragraph" w:customStyle="1" w:styleId="54">
    <w:name w:val="纯文本1"/>
    <w:basedOn w:val="1"/>
    <w:link w:val="53"/>
    <w:autoRedefine/>
    <w:qFormat/>
    <w:uiPriority w:val="0"/>
    <w:rPr>
      <w:rFonts w:ascii="Arial" w:hAnsi="Arial" w:eastAsia="Arial" w:cstheme="minorBidi"/>
    </w:rPr>
  </w:style>
  <w:style w:type="character" w:customStyle="1" w:styleId="55">
    <w:name w:val="批注文字 Char"/>
    <w:basedOn w:val="25"/>
    <w:autoRedefine/>
    <w:semiHidden/>
    <w:qFormat/>
    <w:uiPriority w:val="99"/>
    <w:rPr>
      <w:rFonts w:ascii="@仿宋_GB2312" w:hAnsi="@仿宋_GB2312" w:eastAsia="@仿宋_GB2312" w:cs="@仿宋_GB2312"/>
      <w:szCs w:val="20"/>
    </w:rPr>
  </w:style>
  <w:style w:type="character" w:customStyle="1" w:styleId="56">
    <w:name w:val="批注文字 字符"/>
    <w:link w:val="7"/>
    <w:autoRedefine/>
    <w:qFormat/>
    <w:uiPriority w:val="0"/>
    <w:rPr>
      <w:rFonts w:ascii="Arial" w:hAnsi="Arial" w:eastAsia="黑体" w:cs="Arial"/>
      <w:szCs w:val="20"/>
    </w:rPr>
  </w:style>
  <w:style w:type="character" w:customStyle="1" w:styleId="57">
    <w:name w:val="标题 1 字符"/>
    <w:basedOn w:val="25"/>
    <w:link w:val="2"/>
    <w:qFormat/>
    <w:uiPriority w:val="9"/>
    <w:rPr>
      <w:rFonts w:ascii="@仿宋_GB2312" w:hAnsi="@仿宋_GB2312" w:eastAsia="@仿宋_GB2312" w:cs="@仿宋_GB2312"/>
      <w:b/>
      <w:bCs/>
      <w:kern w:val="44"/>
      <w:sz w:val="44"/>
      <w:szCs w:val="44"/>
    </w:rPr>
  </w:style>
  <w:style w:type="paragraph" w:customStyle="1" w:styleId="5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9">
    <w:name w:val="标题 3 字符"/>
    <w:basedOn w:val="25"/>
    <w:link w:val="4"/>
    <w:semiHidden/>
    <w:qFormat/>
    <w:uiPriority w:val="9"/>
    <w:rPr>
      <w:rFonts w:ascii="@仿宋_GB2312" w:hAnsi="@仿宋_GB2312" w:eastAsia="@仿宋_GB2312" w:cs="@仿宋_GB2312"/>
      <w:b/>
      <w:bCs/>
      <w:sz w:val="32"/>
      <w:szCs w:val="32"/>
    </w:rPr>
  </w:style>
  <w:style w:type="character" w:customStyle="1" w:styleId="60">
    <w:name w:val="fontstyle01"/>
    <w:basedOn w:val="25"/>
    <w:autoRedefine/>
    <w:qFormat/>
    <w:uiPriority w:val="0"/>
    <w:rPr>
      <w:rFonts w:hint="eastAsia" w:ascii="宋体" w:hAnsi="宋体" w:eastAsia="宋体"/>
      <w:color w:val="000000"/>
      <w:sz w:val="22"/>
      <w:szCs w:val="22"/>
    </w:rPr>
  </w:style>
  <w:style w:type="character" w:customStyle="1" w:styleId="61">
    <w:name w:val="fontstyle21"/>
    <w:basedOn w:val="25"/>
    <w:qFormat/>
    <w:uiPriority w:val="0"/>
    <w:rPr>
      <w:rFonts w:hint="default" w:ascii="TimesNewRomanPSMT" w:hAnsi="TimesNewRomanPSMT"/>
      <w:color w:val="000000"/>
      <w:sz w:val="22"/>
      <w:szCs w:val="22"/>
    </w:rPr>
  </w:style>
  <w:style w:type="character" w:customStyle="1" w:styleId="6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3">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64">
    <w:name w:val="标题 4 字符1"/>
    <w:link w:val="5"/>
    <w:autoRedefine/>
    <w:qFormat/>
    <w:uiPriority w:val="0"/>
    <w:rPr>
      <w:rFonts w:ascii="@仿宋_GB2312" w:hAnsi="@仿宋_GB2312" w:eastAsia="@仿宋_GB2312" w:cs="@仿宋_GB2312"/>
      <w:b/>
      <w:bCs/>
      <w:sz w:val="28"/>
      <w:szCs w:val="28"/>
    </w:rPr>
  </w:style>
  <w:style w:type="character" w:customStyle="1" w:styleId="65">
    <w:name w:val="正文文本 字符"/>
    <w:basedOn w:val="25"/>
    <w:link w:val="8"/>
    <w:autoRedefine/>
    <w:qFormat/>
    <w:uiPriority w:val="0"/>
    <w:rPr>
      <w:rFonts w:ascii="@微软简标宋" w:hAnsi="@微软简标宋" w:eastAsia="@微软简标宋" w:cs="@微软简标宋"/>
      <w:szCs w:val="24"/>
      <w:lang w:val="zh-CN" w:eastAsia="zh-CN"/>
    </w:rPr>
  </w:style>
  <w:style w:type="table" w:customStyle="1" w:styleId="66">
    <w:name w:val="网格型1"/>
    <w:basedOn w:val="2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Table Normal"/>
    <w:autoRedefine/>
    <w:semiHidden/>
    <w:unhideWhenUsed/>
    <w:qFormat/>
    <w:uiPriority w:val="0"/>
    <w:tblPr>
      <w:tblCellMar>
        <w:top w:w="0" w:type="dxa"/>
        <w:left w:w="0" w:type="dxa"/>
        <w:bottom w:w="0" w:type="dxa"/>
        <w:right w:w="0" w:type="dxa"/>
      </w:tblCellMar>
    </w:tblPr>
  </w:style>
  <w:style w:type="paragraph" w:customStyle="1" w:styleId="68">
    <w:name w:val="Table Text"/>
    <w:basedOn w:val="1"/>
    <w:autoRedefine/>
    <w:semiHidden/>
    <w:qFormat/>
    <w:uiPriority w:val="0"/>
    <w:rPr>
      <w:rFonts w:ascii="Arial" w:hAnsi="Arial" w:eastAsia="Arial" w:cs="Arial"/>
      <w:szCs w:val="21"/>
      <w:lang w:eastAsia="en-US"/>
    </w:rPr>
  </w:style>
  <w:style w:type="character" w:customStyle="1" w:styleId="69">
    <w:name w:val="layui-this"/>
    <w:basedOn w:val="25"/>
    <w:autoRedefine/>
    <w:qFormat/>
    <w:uiPriority w:val="0"/>
    <w:rPr>
      <w:bdr w:val="single" w:color="EEEEEE" w:sz="6" w:space="0"/>
      <w:shd w:val="clear" w:color="auto" w:fill="FFFFFF"/>
    </w:rPr>
  </w:style>
  <w:style w:type="character" w:customStyle="1" w:styleId="70">
    <w:name w:val="first-child"/>
    <w:basedOn w:val="25"/>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54</Pages>
  <Words>26582</Words>
  <Characters>27938</Characters>
  <Lines>222</Lines>
  <Paragraphs>62</Paragraphs>
  <TotalTime>0</TotalTime>
  <ScaleCrop>false</ScaleCrop>
  <LinksUpToDate>false</LinksUpToDate>
  <CharactersWithSpaces>30354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四叶草</cp:lastModifiedBy>
  <cp:lastPrinted>2025-05-28T07:24:00Z</cp:lastPrinted>
  <dcterms:modified xsi:type="dcterms:W3CDTF">2025-07-24T02:35:25Z</dcterms:modified>
  <cp:revision>444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2945C8BB48C84FD4AD4E0C6945917646_13</vt:lpwstr>
  </property>
  <property fmtid="{D5CDD505-2E9C-101B-9397-08002B2CF9AE}" pid="4" name="KSOTemplateDocerSaveRecord">
    <vt:lpwstr>eyJoZGlkIjoiNTEwZGRlNGZhMTRhNjc3NzZjOWQ0MWE2YjlhOTJhNTciLCJ1c2VySWQiOiIyMjg1NzAwNjYifQ==</vt:lpwstr>
  </property>
</Properties>
</file>