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（服务类）</w:t>
      </w:r>
    </w:p>
    <w:p>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（2024年版）</w:t>
      </w:r>
    </w:p>
    <w:p>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安徽滁州技师学院新校区校医院服务项目</w:t>
      </w:r>
      <w:r>
        <w:rPr>
          <w:rFonts w:hint="eastAsia" w:ascii="宋体" w:hAnsi="宋体" w:eastAsia="宋体"/>
          <w:b/>
          <w:color w:val="auto"/>
          <w:spacing w:val="20"/>
          <w:kern w:val="0"/>
          <w:sz w:val="32"/>
          <w:szCs w:val="32"/>
          <w:highlight w:val="none"/>
          <w:u w:val="single"/>
        </w:rPr>
        <w:t xml:space="preserve"> </w:t>
      </w:r>
    </w:p>
    <w:p>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 xml:space="preserve"> </w:t>
      </w:r>
      <w:r>
        <w:rPr>
          <w:rFonts w:hint="eastAsia" w:ascii="宋体" w:hAnsi="宋体" w:eastAsia="宋体"/>
          <w:b/>
          <w:color w:val="auto"/>
          <w:spacing w:val="20"/>
          <w:kern w:val="0"/>
          <w:sz w:val="32"/>
          <w:szCs w:val="32"/>
          <w:highlight w:val="none"/>
          <w:u w:val="single"/>
          <w:lang w:eastAsia="zh-CN"/>
        </w:rPr>
        <w:t>滁州市机电工程学校</w:t>
      </w:r>
      <w:r>
        <w:rPr>
          <w:rFonts w:hint="eastAsia" w:ascii="宋体" w:hAnsi="宋体" w:eastAsia="宋体"/>
          <w:b/>
          <w:color w:val="auto"/>
          <w:spacing w:val="20"/>
          <w:kern w:val="0"/>
          <w:sz w:val="32"/>
          <w:szCs w:val="32"/>
          <w:highlight w:val="none"/>
          <w:u w:val="single"/>
        </w:rPr>
        <w:t xml:space="preserve"> </w:t>
      </w:r>
    </w:p>
    <w:p>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 xml:space="preserve"> </w:t>
      </w:r>
      <w:r>
        <w:rPr>
          <w:rFonts w:hint="eastAsia" w:ascii="宋体" w:hAnsi="宋体" w:eastAsia="宋体"/>
          <w:b/>
          <w:color w:val="auto"/>
          <w:spacing w:val="20"/>
          <w:kern w:val="0"/>
          <w:sz w:val="32"/>
          <w:szCs w:val="32"/>
          <w:highlight w:val="none"/>
          <w:u w:val="single"/>
          <w:lang w:eastAsia="zh-CN"/>
        </w:rPr>
        <w:t>安徽人和项目管理有限公司</w:t>
      </w:r>
    </w:p>
    <w:p>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 xml:space="preserve"> 2024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8</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pPr>
        <w:pStyle w:val="23"/>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"_Toc32331"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_Toc32331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pPr>
        <w:pStyle w:val="23"/>
        <w:tabs>
          <w:tab w:val="right" w:leader="dot" w:pos="8306"/>
        </w:tabs>
        <w:rPr>
          <w:color w:val="auto"/>
          <w:highlight w:val="none"/>
        </w:rPr>
      </w:pPr>
      <w:r>
        <w:rPr>
          <w:color w:val="auto"/>
          <w:highlight w:val="none"/>
        </w:rPr>
        <w:fldChar w:fldCharType="begin"/>
      </w:r>
      <w:r>
        <w:rPr>
          <w:color w:val="auto"/>
          <w:highlight w:val="none"/>
        </w:rPr>
        <w:instrText xml:space="preserve"> HYPERLINK \l "_Toc8888"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w:t>
      </w:r>
      <w:r>
        <w:rPr>
          <w:rFonts w:asciiTheme="minorEastAsia" w:hAnsiTheme="minorEastAsia"/>
          <w:color w:val="auto"/>
          <w:highlight w:val="none"/>
        </w:rPr>
        <w:t>投标人须知</w:t>
      </w:r>
      <w:r>
        <w:rPr>
          <w:color w:val="auto"/>
          <w:highlight w:val="none"/>
        </w:rPr>
        <w:tab/>
      </w:r>
      <w:r>
        <w:rPr>
          <w:rFonts w:hint="eastAsia"/>
          <w:color w:val="auto"/>
          <w:highlight w:val="none"/>
        </w:rPr>
        <w:t>6</w:t>
      </w:r>
      <w:r>
        <w:rPr>
          <w:rFonts w:hint="eastAsia"/>
          <w:color w:val="auto"/>
          <w:highlight w:val="none"/>
        </w:rPr>
        <w:fldChar w:fldCharType="end"/>
      </w:r>
    </w:p>
    <w:p>
      <w:pPr>
        <w:pStyle w:val="23"/>
        <w:tabs>
          <w:tab w:val="right" w:leader="dot" w:pos="8306"/>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"_Toc22605"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rPr>
        <w:t>2</w:t>
      </w:r>
      <w:r>
        <w:rPr>
          <w:rFonts w:hint="eastAsia"/>
          <w:color w:val="auto"/>
          <w:highlight w:val="none"/>
        </w:rPr>
        <w:fldChar w:fldCharType="end"/>
      </w:r>
      <w:r>
        <w:rPr>
          <w:rFonts w:hint="eastAsia" w:asciiTheme="minorEastAsia" w:hAnsiTheme="minorEastAsia"/>
          <w:color w:val="auto"/>
          <w:szCs w:val="24"/>
          <w:highlight w:val="none"/>
          <w:lang w:val="en-US" w:eastAsia="zh-CN"/>
        </w:rPr>
        <w:t>6</w:t>
      </w:r>
    </w:p>
    <w:p>
      <w:pPr>
        <w:pStyle w:val="23"/>
        <w:tabs>
          <w:tab w:val="right" w:leader="dot" w:pos="8306"/>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"_Toc30824" </w:instrText>
      </w:r>
      <w:r>
        <w:rPr>
          <w:color w:val="auto"/>
          <w:highlight w:val="none"/>
        </w:rPr>
        <w:fldChar w:fldCharType="separate"/>
      </w:r>
      <w:r>
        <w:rPr>
          <w:rFonts w:hint="eastAsia" w:asciiTheme="minorEastAsia" w:hAnsiTheme="minorEastAsia"/>
          <w:color w:val="auto"/>
          <w:highlight w:val="none"/>
        </w:rPr>
        <w:t>第四章  评标方法和标准（综合评分法）</w:t>
      </w:r>
      <w:r>
        <w:rPr>
          <w:color w:val="auto"/>
          <w:highlight w:val="none"/>
        </w:rPr>
        <w:tab/>
      </w:r>
      <w:r>
        <w:rPr>
          <w:rFonts w:hint="eastAsia"/>
          <w:color w:val="auto"/>
          <w:highlight w:val="none"/>
          <w:lang w:val="en-US" w:eastAsia="zh-CN"/>
        </w:rPr>
        <w:t>2</w:t>
      </w:r>
      <w:r>
        <w:rPr>
          <w:rFonts w:hint="eastAsia"/>
          <w:color w:val="auto"/>
          <w:highlight w:val="none"/>
        </w:rPr>
        <w:fldChar w:fldCharType="end"/>
      </w:r>
      <w:r>
        <w:rPr>
          <w:rFonts w:hint="eastAsia"/>
          <w:color w:val="auto"/>
          <w:highlight w:val="none"/>
          <w:lang w:val="en-US" w:eastAsia="zh-CN"/>
        </w:rPr>
        <w:t>9</w:t>
      </w:r>
    </w:p>
    <w:p>
      <w:pPr>
        <w:pStyle w:val="23"/>
        <w:tabs>
          <w:tab w:val="right" w:leader="dot" w:pos="8306"/>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"_Toc20405"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rFonts w:hint="eastAsia"/>
          <w:color w:val="auto"/>
          <w:highlight w:val="none"/>
          <w:lang w:val="en-US" w:eastAsia="zh-CN"/>
        </w:rPr>
        <w:t>3</w:t>
      </w:r>
      <w:r>
        <w:rPr>
          <w:rFonts w:hint="eastAsia"/>
          <w:color w:val="auto"/>
          <w:highlight w:val="none"/>
        </w:rPr>
        <w:fldChar w:fldCharType="end"/>
      </w:r>
      <w:r>
        <w:rPr>
          <w:rFonts w:hint="eastAsia"/>
          <w:color w:val="auto"/>
          <w:highlight w:val="none"/>
          <w:lang w:val="en-US" w:eastAsia="zh-CN"/>
        </w:rPr>
        <w:t>9</w:t>
      </w:r>
    </w:p>
    <w:p>
      <w:pPr>
        <w:pStyle w:val="23"/>
        <w:tabs>
          <w:tab w:val="right" w:leader="dot" w:pos="8306"/>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"_Toc13555" </w:instrText>
      </w:r>
      <w:r>
        <w:rPr>
          <w:color w:val="auto"/>
          <w:highlight w:val="none"/>
        </w:rPr>
        <w:fldChar w:fldCharType="separate"/>
      </w:r>
      <w:r>
        <w:rPr>
          <w:rFonts w:hint="eastAsia" w:asciiTheme="minorEastAsia" w:hAnsiTheme="minorEastAsia"/>
          <w:color w:val="auto"/>
          <w:highlight w:val="none"/>
        </w:rPr>
        <w:t>第六章  投标文件格式</w:t>
      </w:r>
      <w:r>
        <w:rPr>
          <w:color w:val="auto"/>
          <w:highlight w:val="none"/>
        </w:rPr>
        <w:tab/>
      </w:r>
      <w:r>
        <w:rPr>
          <w:rFonts w:hint="eastAsia"/>
          <w:color w:val="auto"/>
          <w:highlight w:val="none"/>
          <w:lang w:val="en-US" w:eastAsia="zh-CN"/>
        </w:rPr>
        <w:t>4</w:t>
      </w:r>
      <w:r>
        <w:rPr>
          <w:rFonts w:hint="eastAsia"/>
          <w:color w:val="auto"/>
          <w:highlight w:val="none"/>
        </w:rPr>
        <w:fldChar w:fldCharType="end"/>
      </w:r>
      <w:r>
        <w:rPr>
          <w:rFonts w:hint="eastAsia"/>
          <w:color w:val="auto"/>
          <w:highlight w:val="none"/>
          <w:lang w:val="en-US" w:eastAsia="zh-CN"/>
        </w:rPr>
        <w:t>9</w:t>
      </w:r>
    </w:p>
    <w:p>
      <w:pPr>
        <w:pStyle w:val="23"/>
        <w:tabs>
          <w:tab w:val="right" w:leader="dot" w:pos="8306"/>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"_Toc20819" </w:instrText>
      </w:r>
      <w:r>
        <w:rPr>
          <w:color w:val="auto"/>
          <w:highlight w:val="none"/>
        </w:rPr>
        <w:fldChar w:fldCharType="separate"/>
      </w:r>
      <w:r>
        <w:rPr>
          <w:rFonts w:hint="eastAsia" w:asciiTheme="minorEastAsia" w:hAnsiTheme="minorEastAsia"/>
          <w:color w:val="auto"/>
          <w:highlight w:val="none"/>
        </w:rPr>
        <w:t>第七章</w:t>
      </w:r>
      <w:r>
        <w:rPr>
          <w:rFonts w:hint="eastAsia" w:ascii="宋体" w:hAnsi="宋体" w:eastAsia="宋体"/>
          <w:bCs/>
          <w:color w:val="auto"/>
          <w:highlight w:val="none"/>
        </w:rPr>
        <w:t xml:space="preserve">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lang w:val="en-US" w:eastAsia="zh-CN"/>
        </w:rPr>
        <w:t>6</w:t>
      </w:r>
      <w:r>
        <w:rPr>
          <w:rFonts w:hint="eastAsia"/>
          <w:color w:val="auto"/>
          <w:highlight w:val="none"/>
        </w:rPr>
        <w:fldChar w:fldCharType="end"/>
      </w:r>
      <w:r>
        <w:rPr>
          <w:rFonts w:hint="eastAsia"/>
          <w:color w:val="auto"/>
          <w:highlight w:val="none"/>
          <w:lang w:val="en-US" w:eastAsia="zh-CN"/>
        </w:rPr>
        <w:t>7</w:t>
      </w:r>
    </w:p>
    <w:p>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pPr>
        <w:keepNext/>
        <w:keepLines/>
        <w:ind w:firstLine="560" w:firstLineChars="200"/>
        <w:rPr>
          <w:rFonts w:ascii="仿宋" w:hAnsi="仿宋" w:eastAsia="仿宋" w:cs="仿宋"/>
          <w:color w:val="auto"/>
          <w:sz w:val="28"/>
          <w:szCs w:val="28"/>
          <w:highlight w:val="none"/>
        </w:rPr>
      </w:pPr>
      <w:bookmarkStart w:id="2" w:name="_Toc28359002"/>
      <w:bookmarkEnd w:id="2"/>
      <w:bookmarkStart w:id="3" w:name="_Toc35393621"/>
      <w:bookmarkEnd w:id="3"/>
      <w:bookmarkStart w:id="4" w:name="_Toc28359079"/>
      <w:bookmarkEnd w:id="4"/>
      <w:bookmarkStart w:id="5" w:name="_Toc35393790"/>
      <w:bookmarkEnd w:id="5"/>
      <w:bookmarkStart w:id="6" w:name="_Toc58430305"/>
      <w:bookmarkEnd w:id="6"/>
      <w:bookmarkStart w:id="7" w:name="_Hlk24379207"/>
      <w:bookmarkStart w:id="8" w:name="_Toc1215"/>
      <w:r>
        <w:rPr>
          <w:rFonts w:hint="eastAsia" w:ascii="仿宋" w:hAnsi="仿宋" w:eastAsia="仿宋" w:cs="仿宋"/>
          <w:color w:val="auto"/>
          <w:sz w:val="28"/>
          <w:szCs w:val="28"/>
          <w:highlight w:val="none"/>
        </w:rPr>
        <w:t>项目概况</w:t>
      </w:r>
    </w:p>
    <w:p>
      <w:pPr>
        <w:wordWrap w:val="0"/>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eastAsia="zh-CN"/>
        </w:rPr>
        <w:t>安徽滁州技师学院新校区校医院服务项目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lang w:eastAsia="zh-CN"/>
        </w:rPr>
        <w:t>滁州市机电工程学校（http://www.cztc.edu.cn/）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2024年</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27</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点00分</w:t>
      </w:r>
      <w:r>
        <w:rPr>
          <w:rFonts w:hint="eastAsia" w:ascii="仿宋" w:hAnsi="仿宋" w:eastAsia="仿宋" w:cs="仿宋"/>
          <w:color w:val="auto"/>
          <w:sz w:val="28"/>
          <w:szCs w:val="28"/>
          <w:highlight w:val="none"/>
        </w:rPr>
        <w:t>（北京时间）前递交投标文件。</w:t>
      </w:r>
    </w:p>
    <w:bookmarkEnd w:id="7"/>
    <w:p>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pPr>
        <w:ind w:firstLine="560" w:firstLineChars="200"/>
        <w:jc w:val="left"/>
        <w:rPr>
          <w:rFonts w:ascii="仿宋" w:hAnsi="仿宋" w:eastAsia="仿宋" w:cs="Times New Roman"/>
          <w:color w:val="auto"/>
          <w:sz w:val="28"/>
          <w:szCs w:val="28"/>
          <w:highlight w:val="none"/>
        </w:rPr>
      </w:pPr>
      <w:bookmarkStart w:id="9" w:name="_Toc35393791"/>
      <w:bookmarkEnd w:id="9"/>
      <w:bookmarkStart w:id="10" w:name="_Toc58430306"/>
      <w:bookmarkEnd w:id="10"/>
      <w:bookmarkStart w:id="11" w:name="_Toc28359003"/>
      <w:bookmarkEnd w:id="11"/>
      <w:bookmarkStart w:id="12" w:name="_Toc35393622"/>
      <w:bookmarkEnd w:id="12"/>
      <w:bookmarkStart w:id="13" w:name="_Toc28359080"/>
      <w:r>
        <w:rPr>
          <w:rFonts w:hint="eastAsia" w:ascii="仿宋" w:hAnsi="仿宋" w:eastAsia="仿宋" w:cs="Times New Roman"/>
          <w:color w:val="auto"/>
          <w:sz w:val="28"/>
          <w:szCs w:val="28"/>
          <w:highlight w:val="none"/>
        </w:rPr>
        <w:t>项目名称：</w:t>
      </w:r>
      <w:r>
        <w:rPr>
          <w:rFonts w:hint="eastAsia" w:ascii="仿宋" w:hAnsi="仿宋" w:eastAsia="仿宋" w:cs="Times New Roman"/>
          <w:color w:val="auto"/>
          <w:sz w:val="28"/>
          <w:szCs w:val="28"/>
          <w:highlight w:val="none"/>
          <w:lang w:eastAsia="zh-CN"/>
        </w:rPr>
        <w:t>安徽滁州技师学院新校区校医院服务项目</w:t>
      </w:r>
      <w:r>
        <w:rPr>
          <w:rFonts w:hint="eastAsia" w:ascii="仿宋" w:hAnsi="仿宋" w:eastAsia="仿宋" w:cs="Times New Roman"/>
          <w:color w:val="auto"/>
          <w:sz w:val="28"/>
          <w:szCs w:val="28"/>
          <w:highlight w:val="none"/>
        </w:rPr>
        <w:t xml:space="preserve">  </w:t>
      </w:r>
    </w:p>
    <w:p>
      <w:pPr>
        <w:ind w:firstLine="560" w:firstLineChars="200"/>
        <w:jc w:val="left"/>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预算金额：</w:t>
      </w:r>
      <w:r>
        <w:rPr>
          <w:rFonts w:hint="eastAsia" w:ascii="仿宋" w:hAnsi="仿宋" w:eastAsia="仿宋"/>
          <w:color w:val="auto"/>
          <w:sz w:val="28"/>
          <w:szCs w:val="28"/>
          <w:highlight w:val="none"/>
          <w:lang w:val="en-US" w:eastAsia="zh-CN"/>
        </w:rPr>
        <w:t>19.5万</w:t>
      </w:r>
      <w:r>
        <w:rPr>
          <w:rFonts w:hint="eastAsia" w:ascii="仿宋" w:hAnsi="仿宋" w:eastAsia="仿宋"/>
          <w:color w:val="auto"/>
          <w:sz w:val="28"/>
          <w:szCs w:val="28"/>
          <w:highlight w:val="none"/>
        </w:rPr>
        <w:t>元</w:t>
      </w:r>
    </w:p>
    <w:p>
      <w:pPr>
        <w:ind w:firstLine="560" w:firstLineChars="200"/>
        <w:jc w:val="left"/>
        <w:rPr>
          <w:rFonts w:ascii="仿宋" w:hAnsi="仿宋" w:eastAsia="仿宋"/>
          <w:color w:val="auto"/>
          <w:sz w:val="28"/>
          <w:szCs w:val="28"/>
          <w:highlight w:val="none"/>
        </w:rPr>
      </w:pPr>
      <w:r>
        <w:rPr>
          <w:rFonts w:hint="eastAsia" w:ascii="仿宋" w:hAnsi="仿宋" w:eastAsia="仿宋" w:cs="Times New Roman"/>
          <w:color w:val="auto"/>
          <w:sz w:val="28"/>
          <w:szCs w:val="28"/>
          <w:highlight w:val="none"/>
        </w:rPr>
        <w:t>最高限价：</w:t>
      </w:r>
      <w:r>
        <w:rPr>
          <w:rFonts w:hint="eastAsia" w:ascii="仿宋" w:hAnsi="仿宋" w:eastAsia="仿宋" w:cs="Times New Roman"/>
          <w:color w:val="auto"/>
          <w:sz w:val="28"/>
          <w:szCs w:val="28"/>
          <w:highlight w:val="none"/>
          <w:lang w:val="en-US" w:eastAsia="zh-CN"/>
        </w:rPr>
        <w:t>壹拾玖万伍仟元</w:t>
      </w: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lang w:val="en-US" w:eastAsia="zh-CN"/>
        </w:rPr>
        <w:t>19.5万元</w:t>
      </w:r>
      <w:r>
        <w:rPr>
          <w:rFonts w:hint="eastAsia" w:ascii="仿宋" w:hAnsi="仿宋" w:eastAsia="仿宋" w:cs="Times New Roman"/>
          <w:color w:val="auto"/>
          <w:sz w:val="28"/>
          <w:szCs w:val="28"/>
          <w:highlight w:val="none"/>
        </w:rPr>
        <w:t>）</w:t>
      </w:r>
    </w:p>
    <w:p>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采购需求：</w:t>
      </w:r>
      <w:r>
        <w:rPr>
          <w:rFonts w:hint="eastAsia" w:ascii="仿宋" w:hAnsi="仿宋" w:eastAsia="仿宋" w:cs="仿宋"/>
          <w:sz w:val="28"/>
          <w:szCs w:val="28"/>
        </w:rPr>
        <w:t>具体内容详见招标文件《采购需求》。</w:t>
      </w:r>
    </w:p>
    <w:p>
      <w:pPr>
        <w:ind w:right="-313" w:rightChars="-149" w:firstLine="560" w:firstLineChars="200"/>
        <w:jc w:val="left"/>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合同履行期限:合同签订后服务期为一年。合同到期后，若服务期内履约良好，经合同双方同意，在年度财政预算能保障的前提下，可续签下一年度合同，合同价格不变，合同一年一签，续签不超过</w:t>
      </w:r>
      <w:r>
        <w:rPr>
          <w:rFonts w:hint="eastAsia" w:ascii="仿宋" w:hAnsi="仿宋" w:eastAsia="仿宋" w:cs="Times New Roman"/>
          <w:color w:val="auto"/>
          <w:sz w:val="28"/>
          <w:szCs w:val="28"/>
          <w:highlight w:val="none"/>
          <w:lang w:val="en-US" w:eastAsia="zh-CN"/>
        </w:rPr>
        <w:t>二</w:t>
      </w:r>
      <w:r>
        <w:rPr>
          <w:rFonts w:hint="eastAsia" w:ascii="仿宋" w:hAnsi="仿宋" w:eastAsia="仿宋" w:cs="Times New Roman"/>
          <w:color w:val="auto"/>
          <w:sz w:val="28"/>
          <w:szCs w:val="28"/>
          <w:highlight w:val="none"/>
        </w:rPr>
        <w:t>年。</w:t>
      </w:r>
    </w:p>
    <w:p>
      <w:pPr>
        <w:ind w:firstLine="437"/>
        <w:jc w:val="left"/>
        <w:outlineLvl w:val="1"/>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本项目不接受联合体投标。</w:t>
      </w:r>
    </w:p>
    <w:bookmarkEnd w:id="13"/>
    <w:p>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p>
    <w:p>
      <w:pPr>
        <w:ind w:firstLine="560" w:firstLineChars="200"/>
        <w:rPr>
          <w:rFonts w:ascii="仿宋" w:hAnsi="仿宋" w:eastAsia="仿宋" w:cs="Times New Roman"/>
          <w:color w:val="auto"/>
          <w:sz w:val="28"/>
          <w:szCs w:val="28"/>
          <w:highlight w:val="none"/>
        </w:rPr>
      </w:pPr>
      <w:bookmarkStart w:id="14" w:name="_Toc35393623"/>
      <w:bookmarkEnd w:id="14"/>
      <w:bookmarkStart w:id="15" w:name="_Toc35393792"/>
      <w:bookmarkEnd w:id="15"/>
      <w:bookmarkStart w:id="16" w:name="_Toc58430307"/>
      <w:r>
        <w:rPr>
          <w:rFonts w:hint="eastAsia" w:ascii="仿宋" w:hAnsi="仿宋" w:eastAsia="仿宋" w:cs="Times New Roman"/>
          <w:color w:val="auto"/>
          <w:sz w:val="28"/>
          <w:szCs w:val="28"/>
          <w:highlight w:val="none"/>
        </w:rPr>
        <w:t>1.满足《中华人民共和国政府采购法》第二十二条规定；</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2.落实政府采购政策需满足的资格要求：</w:t>
      </w:r>
      <w:r>
        <w:rPr>
          <w:rFonts w:hint="eastAsia" w:ascii="仿宋" w:hAnsi="仿宋" w:eastAsia="仿宋" w:cs="Times New Roman"/>
          <w:color w:val="auto"/>
          <w:sz w:val="28"/>
          <w:szCs w:val="28"/>
          <w:highlight w:val="none"/>
          <w:lang w:val="en-US" w:eastAsia="zh-CN"/>
        </w:rPr>
        <w:t>无；</w:t>
      </w:r>
    </w:p>
    <w:p>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3.本项目的特定资格要求：</w:t>
      </w:r>
    </w:p>
    <w:p>
      <w:pPr>
        <w:ind w:firstLine="560" w:firstLineChars="200"/>
        <w:rPr>
          <w:rFonts w:hint="eastAsia" w:ascii="仿宋" w:hAnsi="仿宋" w:eastAsia="仿宋" w:cs="仿宋"/>
          <w:color w:val="auto"/>
          <w:sz w:val="28"/>
          <w:szCs w:val="28"/>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仿宋"/>
          <w:color w:val="auto"/>
          <w:sz w:val="28"/>
          <w:szCs w:val="28"/>
        </w:rPr>
        <w:t>1.投标人</w:t>
      </w:r>
      <w:r>
        <w:rPr>
          <w:rFonts w:hint="eastAsia" w:ascii="仿宋" w:hAnsi="仿宋" w:eastAsia="仿宋" w:cs="仿宋"/>
          <w:color w:val="auto"/>
          <w:sz w:val="28"/>
          <w:szCs w:val="28"/>
          <w:lang w:val="en-US" w:eastAsia="zh-CN"/>
        </w:rPr>
        <w:t>具有</w:t>
      </w:r>
      <w:r>
        <w:rPr>
          <w:rFonts w:hint="eastAsia" w:ascii="仿宋" w:hAnsi="仿宋" w:eastAsia="仿宋" w:cs="仿宋"/>
          <w:color w:val="auto"/>
          <w:sz w:val="28"/>
          <w:szCs w:val="28"/>
        </w:rPr>
        <w:t>卫生主管部门颁发的《医疗机构执业许可证》；</w:t>
      </w:r>
    </w:p>
    <w:p>
      <w:pPr>
        <w:ind w:firstLine="560" w:firstLineChars="200"/>
        <w:rPr>
          <w:rFonts w:ascii="仿宋" w:hAnsi="仿宋" w:eastAsia="仿宋" w:cs="Times New Roman"/>
          <w:color w:val="auto"/>
          <w:sz w:val="28"/>
          <w:szCs w:val="28"/>
          <w:highlight w:val="none"/>
        </w:rPr>
      </w:pPr>
      <w:r>
        <w:rPr>
          <w:rFonts w:hint="eastAsia" w:ascii="仿宋" w:hAnsi="仿宋" w:eastAsia="仿宋" w:cs="仿宋"/>
          <w:color w:val="auto"/>
          <w:sz w:val="28"/>
          <w:szCs w:val="28"/>
          <w:lang w:val="en-US" w:eastAsia="zh-CN"/>
        </w:rPr>
        <w:t>3.2.本项目不接受非社区卫生服务机构（个体工商户）参与投标。</w:t>
      </w:r>
    </w:p>
    <w:p>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4.信誉要求：投标人不得存在以下情形：</w:t>
      </w:r>
    </w:p>
    <w:p>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①投标人被人民法院列入失信被执行人的；</w:t>
      </w:r>
    </w:p>
    <w:p>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②投标人或其法定代表人或拟派项目经理（项目负责人）前三年有行贿犯罪行为的；</w:t>
      </w:r>
    </w:p>
    <w:p>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③投标人被市场监督管理部门列入经营异常名录或者严重违法企业名单，且未被移除的；</w:t>
      </w:r>
    </w:p>
    <w:p>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④投标人被税务部门列入重大税收违法案件当事人的；</w:t>
      </w:r>
    </w:p>
    <w:p>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⑤投标人被政府采购监管部门列入政府采购严重违法失信行为记录名单的；</w:t>
      </w:r>
    </w:p>
    <w:p>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⑥在“信用中国”网站上披露仍在公示期的严重失信行为的。</w:t>
      </w:r>
    </w:p>
    <w:p>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5.投标人所属分公司、办事处等分支机构存在第4款信誉要求①-⑥项情形之一的，接受投标人参加本项目。</w:t>
      </w:r>
    </w:p>
    <w:p>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备注：第4、5条按照“关于联合惩戒失信行为加强信用查询管理的通知”查询或承诺。</w:t>
      </w:r>
    </w:p>
    <w:bookmarkEnd w:id="16"/>
    <w:p>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p>
    <w:p>
      <w:pPr>
        <w:ind w:firstLine="560" w:firstLineChars="200"/>
        <w:rPr>
          <w:rFonts w:ascii="仿宋" w:hAnsi="仿宋" w:eastAsia="仿宋" w:cs="Times New Roman"/>
          <w:color w:val="auto"/>
          <w:sz w:val="28"/>
          <w:szCs w:val="28"/>
          <w:highlight w:val="none"/>
          <w:u w:val="single"/>
        </w:rPr>
      </w:pPr>
      <w:bookmarkStart w:id="17" w:name="_Toc28359082"/>
      <w:bookmarkEnd w:id="17"/>
      <w:bookmarkStart w:id="18" w:name="_Toc28359005"/>
      <w:bookmarkEnd w:id="18"/>
      <w:bookmarkStart w:id="19" w:name="_Toc35393793"/>
      <w:bookmarkEnd w:id="19"/>
      <w:bookmarkStart w:id="20" w:name="_Toc35393624"/>
      <w:bookmarkEnd w:id="20"/>
      <w:bookmarkStart w:id="21" w:name="_Toc58430308"/>
      <w:r>
        <w:rPr>
          <w:rFonts w:hint="eastAsia" w:ascii="仿宋" w:hAnsi="仿宋" w:eastAsia="仿宋" w:cs="Times New Roman"/>
          <w:color w:val="auto"/>
          <w:sz w:val="28"/>
          <w:szCs w:val="28"/>
          <w:highlight w:val="none"/>
        </w:rPr>
        <w:t>时间：</w:t>
      </w:r>
      <w:r>
        <w:rPr>
          <w:rFonts w:hint="eastAsia" w:ascii="仿宋" w:hAnsi="仿宋" w:eastAsia="仿宋" w:cs="Times New Roman"/>
          <w:color w:val="auto"/>
          <w:sz w:val="28"/>
          <w:szCs w:val="28"/>
          <w:highlight w:val="none"/>
          <w:u w:val="single"/>
        </w:rPr>
        <w:t>2024年</w:t>
      </w:r>
      <w:r>
        <w:rPr>
          <w:rFonts w:hint="eastAsia" w:ascii="仿宋" w:hAnsi="仿宋" w:eastAsia="仿宋" w:cs="Times New Roman"/>
          <w:color w:val="auto"/>
          <w:sz w:val="28"/>
          <w:szCs w:val="28"/>
          <w:highlight w:val="none"/>
          <w:u w:val="single"/>
          <w:lang w:val="en-US" w:eastAsia="zh-CN"/>
        </w:rPr>
        <w:t>8</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21</w:t>
      </w:r>
      <w:r>
        <w:rPr>
          <w:rFonts w:hint="eastAsia" w:ascii="仿宋" w:hAnsi="仿宋" w:eastAsia="仿宋" w:cs="Times New Roman"/>
          <w:color w:val="auto"/>
          <w:sz w:val="28"/>
          <w:szCs w:val="28"/>
          <w:highlight w:val="none"/>
          <w:u w:val="single"/>
        </w:rPr>
        <w:t>日</w:t>
      </w:r>
      <w:r>
        <w:rPr>
          <w:rFonts w:hint="eastAsia" w:ascii="仿宋" w:hAnsi="仿宋" w:eastAsia="仿宋" w:cs="Times New Roman"/>
          <w:color w:val="auto"/>
          <w:sz w:val="28"/>
          <w:szCs w:val="28"/>
          <w:highlight w:val="none"/>
        </w:rPr>
        <w:t>至</w:t>
      </w:r>
      <w:r>
        <w:rPr>
          <w:rFonts w:hint="eastAsia" w:ascii="仿宋" w:hAnsi="仿宋" w:eastAsia="仿宋" w:cs="Times New Roman"/>
          <w:color w:val="auto"/>
          <w:sz w:val="28"/>
          <w:szCs w:val="28"/>
          <w:highlight w:val="none"/>
          <w:u w:val="single"/>
        </w:rPr>
        <w:t>2024年</w:t>
      </w:r>
      <w:r>
        <w:rPr>
          <w:rFonts w:hint="eastAsia" w:ascii="仿宋" w:hAnsi="仿宋" w:eastAsia="仿宋" w:cs="Times New Roman"/>
          <w:color w:val="auto"/>
          <w:sz w:val="28"/>
          <w:szCs w:val="28"/>
          <w:highlight w:val="none"/>
          <w:u w:val="single"/>
          <w:lang w:val="en-US" w:eastAsia="zh-CN"/>
        </w:rPr>
        <w:t>8</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27</w:t>
      </w:r>
      <w:r>
        <w:rPr>
          <w:rFonts w:hint="eastAsia" w:ascii="仿宋" w:hAnsi="仿宋" w:eastAsia="仿宋" w:cs="Times New Roman"/>
          <w:color w:val="auto"/>
          <w:sz w:val="28"/>
          <w:szCs w:val="28"/>
          <w:highlight w:val="none"/>
          <w:u w:val="single"/>
        </w:rPr>
        <w:t>日</w:t>
      </w:r>
    </w:p>
    <w:p>
      <w:pPr>
        <w:ind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地点：</w:t>
      </w:r>
      <w:r>
        <w:rPr>
          <w:rFonts w:hint="eastAsia" w:ascii="仿宋" w:hAnsi="仿宋" w:eastAsia="仿宋" w:cs="Times New Roman"/>
          <w:color w:val="auto"/>
          <w:sz w:val="28"/>
          <w:szCs w:val="28"/>
          <w:highlight w:val="none"/>
          <w:lang w:eastAsia="zh-CN"/>
        </w:rPr>
        <w:t>滁州市机电工程学校</w:t>
      </w:r>
    </w:p>
    <w:p>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方式：网上下载</w:t>
      </w:r>
    </w:p>
    <w:p>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售价：0元</w:t>
      </w:r>
    </w:p>
    <w:bookmarkEnd w:id="21"/>
    <w:p>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四、提交投标文件截止时间、开标时间和地点</w:t>
      </w:r>
    </w:p>
    <w:p>
      <w:pPr>
        <w:ind w:firstLine="560" w:firstLineChars="200"/>
        <w:jc w:val="left"/>
        <w:rPr>
          <w:rFonts w:hint="eastAsia" w:ascii="仿宋" w:hAnsi="仿宋" w:eastAsia="仿宋" w:cs="Times New Roman"/>
          <w:color w:val="auto"/>
          <w:sz w:val="28"/>
          <w:szCs w:val="28"/>
          <w:highlight w:val="none"/>
        </w:rPr>
      </w:pPr>
      <w:bookmarkStart w:id="22" w:name="_Toc28359007"/>
      <w:bookmarkEnd w:id="22"/>
      <w:bookmarkStart w:id="23" w:name="_Toc35393625"/>
      <w:bookmarkEnd w:id="23"/>
      <w:bookmarkStart w:id="24" w:name="_Toc58430309"/>
      <w:bookmarkEnd w:id="24"/>
      <w:bookmarkStart w:id="25" w:name="_Toc35393794"/>
      <w:bookmarkEnd w:id="25"/>
      <w:r>
        <w:rPr>
          <w:rFonts w:hint="eastAsia" w:ascii="仿宋" w:hAnsi="仿宋" w:eastAsia="仿宋" w:cs="Times New Roman"/>
          <w:color w:val="auto"/>
          <w:sz w:val="28"/>
          <w:szCs w:val="28"/>
          <w:highlight w:val="none"/>
        </w:rPr>
        <w:t>2024年</w:t>
      </w:r>
      <w:r>
        <w:rPr>
          <w:rFonts w:hint="eastAsia" w:ascii="仿宋" w:hAnsi="仿宋" w:eastAsia="仿宋" w:cs="Times New Roman"/>
          <w:color w:val="auto"/>
          <w:sz w:val="28"/>
          <w:szCs w:val="28"/>
          <w:highlight w:val="none"/>
          <w:lang w:val="en-US" w:eastAsia="zh-CN"/>
        </w:rPr>
        <w:t>08</w:t>
      </w:r>
      <w:r>
        <w:rPr>
          <w:rFonts w:hint="eastAsia" w:ascii="仿宋" w:hAnsi="仿宋" w:eastAsia="仿宋" w:cs="Times New Roman"/>
          <w:color w:val="auto"/>
          <w:sz w:val="28"/>
          <w:szCs w:val="28"/>
          <w:highlight w:val="none"/>
        </w:rPr>
        <w:t>月</w:t>
      </w:r>
      <w:r>
        <w:rPr>
          <w:rFonts w:hint="eastAsia" w:ascii="仿宋" w:hAnsi="仿宋" w:eastAsia="仿宋" w:cs="Times New Roman"/>
          <w:color w:val="auto"/>
          <w:sz w:val="28"/>
          <w:szCs w:val="28"/>
          <w:highlight w:val="none"/>
          <w:lang w:val="en-US" w:eastAsia="zh-CN"/>
        </w:rPr>
        <w:t>27</w:t>
      </w:r>
      <w:r>
        <w:rPr>
          <w:rFonts w:hint="eastAsia" w:ascii="仿宋" w:hAnsi="仿宋" w:eastAsia="仿宋" w:cs="Times New Roman"/>
          <w:color w:val="auto"/>
          <w:sz w:val="28"/>
          <w:szCs w:val="28"/>
          <w:highlight w:val="none"/>
        </w:rPr>
        <w:t>日</w:t>
      </w:r>
      <w:r>
        <w:rPr>
          <w:rFonts w:hint="eastAsia" w:ascii="仿宋" w:hAnsi="仿宋" w:eastAsia="仿宋" w:cs="Times New Roman"/>
          <w:color w:val="auto"/>
          <w:sz w:val="28"/>
          <w:szCs w:val="28"/>
          <w:highlight w:val="none"/>
          <w:lang w:val="en-US" w:eastAsia="zh-CN"/>
        </w:rPr>
        <w:t>15</w:t>
      </w:r>
      <w:r>
        <w:rPr>
          <w:rFonts w:hint="eastAsia" w:ascii="仿宋" w:hAnsi="仿宋" w:eastAsia="仿宋" w:cs="Times New Roman"/>
          <w:color w:val="auto"/>
          <w:sz w:val="28"/>
          <w:szCs w:val="28"/>
          <w:highlight w:val="none"/>
        </w:rPr>
        <w:t>点00分（北京时间）</w:t>
      </w:r>
    </w:p>
    <w:p>
      <w:pPr>
        <w:ind w:firstLine="560" w:firstLineChars="200"/>
        <w:jc w:val="left"/>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地点：安徽省滁州市凤凰西路延伸段凤凰大厦</w:t>
      </w:r>
      <w:r>
        <w:rPr>
          <w:rFonts w:hint="eastAsia" w:ascii="仿宋" w:hAnsi="仿宋" w:eastAsia="仿宋" w:cs="Times New Roman"/>
          <w:color w:val="auto"/>
          <w:sz w:val="28"/>
          <w:szCs w:val="28"/>
          <w:highlight w:val="none"/>
          <w:lang w:val="en-US" w:eastAsia="zh-CN"/>
        </w:rPr>
        <w:t>四单元五楼517</w:t>
      </w:r>
      <w:r>
        <w:rPr>
          <w:rFonts w:hint="eastAsia" w:ascii="仿宋" w:hAnsi="仿宋" w:eastAsia="仿宋" w:cs="Times New Roman"/>
          <w:color w:val="auto"/>
          <w:sz w:val="28"/>
          <w:szCs w:val="28"/>
          <w:highlight w:val="none"/>
        </w:rPr>
        <w:t>会议室</w:t>
      </w:r>
    </w:p>
    <w:p>
      <w:pPr>
        <w:keepNext/>
        <w:keepLines/>
        <w:spacing w:before="260" w:after="260"/>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五、公告期限</w:t>
      </w:r>
    </w:p>
    <w:p>
      <w:pPr>
        <w:ind w:firstLine="560" w:firstLineChars="200"/>
        <w:jc w:val="left"/>
        <w:rPr>
          <w:rFonts w:ascii="仿宋" w:hAnsi="仿宋" w:eastAsia="仿宋" w:cs="Times New Roman"/>
          <w:color w:val="auto"/>
          <w:sz w:val="28"/>
          <w:szCs w:val="28"/>
          <w:highlight w:val="none"/>
        </w:rPr>
      </w:pPr>
      <w:bookmarkStart w:id="26" w:name="_Toc58430310"/>
      <w:bookmarkEnd w:id="26"/>
      <w:r>
        <w:rPr>
          <w:rFonts w:hint="eastAsia" w:ascii="仿宋" w:hAnsi="仿宋" w:eastAsia="仿宋" w:cs="Times New Roman"/>
          <w:color w:val="auto"/>
          <w:sz w:val="28"/>
          <w:szCs w:val="28"/>
          <w:highlight w:val="none"/>
        </w:rPr>
        <w:t>自本公告发布之日起5个工作日。</w:t>
      </w:r>
    </w:p>
    <w:p>
      <w:pPr>
        <w:keepNext/>
        <w:keepLines/>
        <w:spacing w:before="260" w:after="260"/>
        <w:rPr>
          <w:rFonts w:ascii="黑体" w:hAnsi="黑体" w:eastAsia="黑体" w:cs="黑体"/>
          <w:color w:val="auto"/>
          <w:sz w:val="28"/>
          <w:szCs w:val="28"/>
          <w:highlight w:val="none"/>
        </w:rPr>
      </w:pPr>
      <w:bookmarkStart w:id="27" w:name="_Toc35393626"/>
      <w:bookmarkStart w:id="28" w:name="_Toc35393795"/>
      <w:r>
        <w:rPr>
          <w:rFonts w:hint="eastAsia" w:ascii="黑体" w:hAnsi="黑体" w:eastAsia="黑体" w:cs="黑体"/>
          <w:color w:val="auto"/>
          <w:sz w:val="28"/>
          <w:szCs w:val="28"/>
          <w:highlight w:val="none"/>
        </w:rPr>
        <w:t>六、其他补充事宜</w:t>
      </w:r>
      <w:bookmarkEnd w:id="27"/>
      <w:bookmarkEnd w:id="28"/>
    </w:p>
    <w:bookmarkEnd w:id="8"/>
    <w:p>
      <w:pPr>
        <w:ind w:firstLine="560" w:firstLineChars="200"/>
        <w:jc w:val="left"/>
        <w:rPr>
          <w:rFonts w:hint="eastAsia" w:ascii="仿宋" w:hAnsi="仿宋" w:eastAsia="仿宋" w:cs="Times New Roman"/>
          <w:color w:val="auto"/>
          <w:sz w:val="28"/>
          <w:szCs w:val="28"/>
          <w:highlight w:val="none"/>
          <w:lang w:val="en-US" w:eastAsia="zh-CN"/>
        </w:rPr>
      </w:pPr>
      <w:bookmarkStart w:id="29" w:name="_Toc3854"/>
      <w:bookmarkStart w:id="30" w:name="_Toc7265"/>
      <w:r>
        <w:rPr>
          <w:rFonts w:hint="eastAsia" w:ascii="仿宋" w:hAnsi="仿宋" w:eastAsia="仿宋" w:cs="Times New Roman"/>
          <w:color w:val="auto"/>
          <w:sz w:val="28"/>
          <w:szCs w:val="28"/>
          <w:highlight w:val="none"/>
          <w:lang w:val="en-US" w:eastAsia="zh-CN"/>
        </w:rPr>
        <w:t>无</w:t>
      </w:r>
    </w:p>
    <w:p>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w:t>
      </w:r>
      <w:bookmarkEnd w:id="29"/>
      <w:bookmarkEnd w:id="30"/>
      <w:r>
        <w:rPr>
          <w:rFonts w:hint="eastAsia" w:ascii="黑体" w:hAnsi="黑体" w:eastAsia="黑体" w:cs="黑体"/>
          <w:color w:val="auto"/>
          <w:sz w:val="28"/>
          <w:szCs w:val="28"/>
          <w:highlight w:val="none"/>
        </w:rPr>
        <w:t>对本次招标提出询问，请按以下方式联系</w:t>
      </w:r>
    </w:p>
    <w:p>
      <w:pPr>
        <w:ind w:firstLine="560" w:firstLineChars="200"/>
        <w:jc w:val="left"/>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1.采购人信息</w:t>
      </w:r>
    </w:p>
    <w:p>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名 称：</w:t>
      </w:r>
      <w:r>
        <w:rPr>
          <w:rFonts w:hint="eastAsia" w:ascii="仿宋" w:hAnsi="仿宋" w:eastAsia="仿宋" w:cs="Times New Roman"/>
          <w:color w:val="auto"/>
          <w:sz w:val="28"/>
          <w:szCs w:val="28"/>
          <w:highlight w:val="none"/>
          <w:u w:val="single"/>
          <w:lang w:eastAsia="zh-CN"/>
        </w:rPr>
        <w:t xml:space="preserve">滁州市机电工程学校（安徽滁州技师学院） </w:t>
      </w:r>
    </w:p>
    <w:p>
      <w:pPr>
        <w:ind w:firstLine="560" w:firstLineChars="200"/>
        <w:jc w:val="left"/>
        <w:rPr>
          <w:rFonts w:hint="eastAsia" w:ascii="仿宋" w:hAnsi="仿宋" w:eastAsia="仿宋" w:cs="Times New Roman"/>
          <w:color w:val="auto"/>
          <w:sz w:val="28"/>
          <w:szCs w:val="28"/>
          <w:highlight w:val="none"/>
          <w:u w:val="single"/>
        </w:rPr>
      </w:pPr>
      <w:r>
        <w:rPr>
          <w:rFonts w:hint="eastAsia" w:ascii="仿宋" w:hAnsi="仿宋" w:eastAsia="仿宋" w:cs="Times New Roman"/>
          <w:color w:val="auto"/>
          <w:sz w:val="28"/>
          <w:szCs w:val="28"/>
          <w:highlight w:val="none"/>
        </w:rPr>
        <w:t>地 址：</w:t>
      </w:r>
      <w:r>
        <w:rPr>
          <w:rFonts w:hint="eastAsia" w:ascii="仿宋" w:hAnsi="仿宋" w:eastAsia="仿宋" w:cs="Times New Roman"/>
          <w:color w:val="auto"/>
          <w:sz w:val="28"/>
          <w:szCs w:val="28"/>
          <w:highlight w:val="none"/>
          <w:u w:val="single"/>
        </w:rPr>
        <w:t>安徽省滁州市丰乐大道2238号</w:t>
      </w:r>
    </w:p>
    <w:p>
      <w:pPr>
        <w:ind w:firstLine="560" w:firstLineChars="200"/>
        <w:jc w:val="left"/>
        <w:rPr>
          <w:rFonts w:hint="eastAsia" w:ascii="仿宋" w:hAnsi="仿宋" w:eastAsia="仿宋" w:cs="Times New Roman"/>
          <w:color w:val="auto"/>
          <w:sz w:val="28"/>
          <w:szCs w:val="28"/>
          <w:highlight w:val="none"/>
          <w:u w:val="single"/>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rPr>
        <w:t>石中山  13955009393</w:t>
      </w:r>
    </w:p>
    <w:p>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2.采购代理机构信息</w:t>
      </w:r>
    </w:p>
    <w:p>
      <w:pPr>
        <w:spacing w:line="240" w:lineRule="auto"/>
        <w:ind w:firstLine="560" w:firstLineChars="200"/>
        <w:jc w:val="left"/>
        <w:rPr>
          <w:rFonts w:ascii="仿宋" w:hAnsi="仿宋" w:eastAsia="仿宋" w:cs="宋体"/>
          <w:b w:val="0"/>
          <w:bCs/>
          <w:color w:val="000000"/>
          <w:sz w:val="28"/>
          <w:szCs w:val="28"/>
        </w:rPr>
      </w:pPr>
      <w:r>
        <w:rPr>
          <w:rFonts w:hint="eastAsia" w:ascii="仿宋" w:hAnsi="仿宋" w:eastAsia="仿宋" w:cs="宋体"/>
          <w:b w:val="0"/>
          <w:bCs/>
          <w:color w:val="000000"/>
          <w:sz w:val="28"/>
          <w:szCs w:val="28"/>
        </w:rPr>
        <w:t>2.</w:t>
      </w:r>
      <w:r>
        <w:rPr>
          <w:rFonts w:hint="eastAsia" w:ascii="仿宋" w:hAnsi="仿宋" w:eastAsia="仿宋" w:cs="宋体"/>
          <w:b w:val="0"/>
          <w:bCs/>
          <w:color w:val="000000"/>
          <w:sz w:val="28"/>
          <w:szCs w:val="28"/>
          <w:lang w:val="en-US" w:eastAsia="zh-CN"/>
        </w:rPr>
        <w:t>采购代理机构</w:t>
      </w:r>
      <w:r>
        <w:rPr>
          <w:rFonts w:hint="eastAsia" w:ascii="仿宋" w:hAnsi="仿宋" w:eastAsia="仿宋" w:cs="宋体"/>
          <w:b w:val="0"/>
          <w:bCs/>
          <w:color w:val="000000"/>
          <w:sz w:val="28"/>
          <w:szCs w:val="28"/>
        </w:rPr>
        <w:t>信息</w:t>
      </w:r>
    </w:p>
    <w:p>
      <w:pPr>
        <w:spacing w:line="240" w:lineRule="auto"/>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u w:val="single"/>
          <w:lang w:eastAsia="zh-CN"/>
        </w:rPr>
        <w:t>安徽人和项目管理有限公司</w:t>
      </w:r>
    </w:p>
    <w:p>
      <w:pPr>
        <w:spacing w:line="240" w:lineRule="auto"/>
        <w:ind w:firstLine="560" w:firstLineChars="200"/>
        <w:rPr>
          <w:rFonts w:hint="eastAsia" w:ascii="仿宋" w:hAnsi="仿宋" w:eastAsia="仿宋"/>
          <w:color w:val="000000"/>
          <w:sz w:val="28"/>
          <w:szCs w:val="28"/>
          <w:u w:val="single"/>
          <w:lang w:eastAsia="zh-CN"/>
        </w:rPr>
      </w:pPr>
      <w:r>
        <w:rPr>
          <w:rFonts w:hint="eastAsia" w:ascii="仿宋" w:hAnsi="仿宋" w:eastAsia="仿宋"/>
          <w:color w:val="000000"/>
          <w:sz w:val="28"/>
          <w:szCs w:val="28"/>
        </w:rPr>
        <w:t>地　　址：</w:t>
      </w:r>
      <w:r>
        <w:rPr>
          <w:rFonts w:hint="eastAsia" w:ascii="仿宋" w:hAnsi="仿宋" w:eastAsia="仿宋"/>
          <w:color w:val="000000"/>
          <w:sz w:val="28"/>
          <w:szCs w:val="28"/>
          <w:u w:val="single"/>
          <w:lang w:eastAsia="zh-CN"/>
        </w:rPr>
        <w:t>滁州市凤凰西路延伸段凤凰大厦二单元406室</w:t>
      </w:r>
    </w:p>
    <w:p>
      <w:pPr>
        <w:spacing w:line="240" w:lineRule="auto"/>
        <w:ind w:firstLine="560" w:firstLineChars="200"/>
        <w:rPr>
          <w:rFonts w:hint="default" w:ascii="仿宋" w:hAnsi="仿宋" w:eastAsia="仿宋"/>
          <w:color w:val="000000"/>
          <w:sz w:val="28"/>
          <w:szCs w:val="28"/>
          <w:u w:val="single" w:color="auto"/>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u w:val="single" w:color="auto"/>
          <w:lang w:eastAsia="zh-CN"/>
        </w:rPr>
        <w:t>索小娟</w:t>
      </w:r>
      <w:r>
        <w:rPr>
          <w:rFonts w:hint="eastAsia" w:ascii="仿宋" w:hAnsi="仿宋" w:eastAsia="仿宋"/>
          <w:color w:val="000000"/>
          <w:sz w:val="28"/>
          <w:szCs w:val="28"/>
          <w:u w:val="single" w:color="auto"/>
        </w:rPr>
        <w:t xml:space="preserve"> </w:t>
      </w:r>
      <w:r>
        <w:rPr>
          <w:rFonts w:hint="eastAsia" w:ascii="仿宋" w:hAnsi="仿宋" w:eastAsia="仿宋"/>
          <w:color w:val="000000"/>
          <w:sz w:val="28"/>
          <w:szCs w:val="28"/>
          <w:u w:val="single" w:color="auto"/>
          <w:lang w:val="en-US" w:eastAsia="zh-CN"/>
        </w:rPr>
        <w:t xml:space="preserve">   13965638745</w:t>
      </w:r>
    </w:p>
    <w:p>
      <w:pPr>
        <w:spacing w:line="360" w:lineRule="auto"/>
        <w:jc w:val="center"/>
        <w:outlineLvl w:val="0"/>
        <w:rPr>
          <w:rFonts w:hint="eastAsia" w:asciiTheme="minorEastAsia" w:hAnsiTheme="minorEastAsia" w:eastAsiaTheme="minorEastAsia"/>
          <w:b/>
          <w:color w:val="auto"/>
          <w:sz w:val="28"/>
          <w:highlight w:val="none"/>
        </w:rPr>
      </w:pPr>
      <w:bookmarkStart w:id="31" w:name="_Toc8888"/>
    </w:p>
    <w:p>
      <w:pPr>
        <w:spacing w:line="360" w:lineRule="auto"/>
        <w:jc w:val="center"/>
        <w:outlineLvl w:val="0"/>
        <w:rPr>
          <w:rFonts w:hint="eastAsia" w:asciiTheme="minorEastAsia" w:hAnsiTheme="minorEastAsia" w:eastAsiaTheme="minorEastAsia"/>
          <w:b/>
          <w:color w:val="auto"/>
          <w:sz w:val="28"/>
          <w:highlight w:val="none"/>
        </w:rPr>
      </w:pPr>
    </w:p>
    <w:p>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1"/>
    </w:p>
    <w:p>
      <w:pPr>
        <w:spacing w:line="360" w:lineRule="auto"/>
        <w:jc w:val="center"/>
        <w:outlineLvl w:val="1"/>
        <w:rPr>
          <w:rFonts w:asciiTheme="minorEastAsia" w:hAnsiTheme="minorEastAsia" w:eastAsiaTheme="minorEastAsia"/>
          <w:b/>
          <w:color w:val="auto"/>
          <w:sz w:val="24"/>
          <w:highlight w:val="none"/>
        </w:rPr>
      </w:pPr>
      <w:bookmarkStart w:id="32" w:name="_Toc13589"/>
      <w:bookmarkStart w:id="3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pPr>
        <w:spacing w:line="500" w:lineRule="exact"/>
        <w:ind w:left="-420" w:leftChars="-200"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31"/>
        <w:tblW w:w="54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873"/>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0"/>
              <w:widowControl w:val="0"/>
              <w:spacing w:before="0" w:beforeAutospacing="0" w:after="0" w:afterAutospacing="0" w:line="50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958" w:type="pct"/>
            <w:vAlign w:val="center"/>
          </w:tcPr>
          <w:p>
            <w:pPr>
              <w:pStyle w:val="50"/>
              <w:widowControl w:val="0"/>
              <w:spacing w:before="0" w:beforeAutospacing="0" w:after="0" w:afterAutospacing="0" w:line="50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470" w:type="pct"/>
            <w:vAlign w:val="center"/>
          </w:tcPr>
          <w:p>
            <w:pPr>
              <w:pStyle w:val="50"/>
              <w:widowControl w:val="0"/>
              <w:spacing w:before="0" w:beforeAutospacing="0" w:after="0" w:afterAutospacing="0" w:line="50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958" w:type="pct"/>
            <w:vAlign w:val="center"/>
          </w:tcPr>
          <w:p>
            <w:pPr>
              <w:pStyle w:val="50"/>
              <w:widowControl w:val="0"/>
              <w:spacing w:before="0" w:beforeAutospacing="0" w:after="0" w:afterAutospacing="0" w:line="500" w:lineRule="exact"/>
              <w:jc w:val="left"/>
              <w:rPr>
                <w:rFonts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3470" w:type="pct"/>
            <w:vAlign w:val="center"/>
          </w:tcPr>
          <w:p>
            <w:pPr>
              <w:spacing w:line="500" w:lineRule="exact"/>
              <w:rPr>
                <w:rFonts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pPr>
              <w:spacing w:line="500" w:lineRule="exact"/>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pPr>
              <w:spacing w:line="50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pPr>
              <w:spacing w:line="50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pPr>
              <w:spacing w:line="50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958" w:type="pct"/>
            <w:vAlign w:val="center"/>
          </w:tcPr>
          <w:p>
            <w:pPr>
              <w:pStyle w:val="50"/>
              <w:widowControl w:val="0"/>
              <w:spacing w:before="0" w:beforeAutospacing="0" w:after="0" w:afterAutospacing="0" w:line="50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470"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none"/>
                <w:lang w:val="en-US" w:eastAsia="zh-CN"/>
              </w:rPr>
              <w:t>2024</w:t>
            </w:r>
            <w:r>
              <w:rPr>
                <w:rFonts w:hint="eastAsia" w:ascii="宋体" w:hAnsi="宋体" w:eastAsia="宋体" w:cs="宋体"/>
                <w:b w:val="0"/>
                <w:color w:val="auto"/>
                <w:sz w:val="24"/>
                <w:highlight w:val="none"/>
                <w:u w:val="none"/>
              </w:rPr>
              <w:t>年</w:t>
            </w:r>
            <w:r>
              <w:rPr>
                <w:rFonts w:hint="eastAsia" w:ascii="宋体" w:hAnsi="宋体" w:eastAsia="宋体" w:cs="宋体"/>
                <w:b w:val="0"/>
                <w:color w:val="auto"/>
                <w:sz w:val="24"/>
                <w:highlight w:val="none"/>
                <w:u w:val="none"/>
                <w:lang w:val="en-US" w:eastAsia="zh-CN"/>
              </w:rPr>
              <w:t>8</w:t>
            </w:r>
            <w:r>
              <w:rPr>
                <w:rFonts w:hint="eastAsia" w:ascii="宋体" w:hAnsi="宋体" w:eastAsia="宋体" w:cs="宋体"/>
                <w:b w:val="0"/>
                <w:color w:val="auto"/>
                <w:sz w:val="24"/>
                <w:highlight w:val="none"/>
                <w:u w:val="none"/>
              </w:rPr>
              <w:t>月</w:t>
            </w:r>
            <w:r>
              <w:rPr>
                <w:rFonts w:hint="eastAsia" w:ascii="宋体" w:hAnsi="宋体" w:eastAsia="宋体" w:cs="宋体"/>
                <w:b w:val="0"/>
                <w:color w:val="auto"/>
                <w:sz w:val="24"/>
                <w:highlight w:val="none"/>
                <w:u w:val="none"/>
                <w:lang w:val="en-US" w:eastAsia="zh-CN"/>
              </w:rPr>
              <w:t>27</w:t>
            </w:r>
            <w:r>
              <w:rPr>
                <w:rFonts w:hint="eastAsia" w:ascii="宋体" w:hAnsi="宋体" w:eastAsia="宋体" w:cs="宋体"/>
                <w:b w:val="0"/>
                <w:color w:val="auto"/>
                <w:sz w:val="24"/>
                <w:highlight w:val="none"/>
                <w:u w:val="none"/>
              </w:rPr>
              <w:t>日</w:t>
            </w:r>
            <w:r>
              <w:rPr>
                <w:rFonts w:hint="eastAsia" w:ascii="宋体" w:hAnsi="宋体" w:eastAsia="宋体" w:cs="宋体"/>
                <w:b w:val="0"/>
                <w:color w:val="auto"/>
                <w:sz w:val="24"/>
                <w:highlight w:val="none"/>
                <w:u w:val="none"/>
                <w:lang w:val="en-US" w:eastAsia="zh-CN"/>
              </w:rPr>
              <w:t>15</w:t>
            </w:r>
            <w:r>
              <w:rPr>
                <w:rFonts w:hint="eastAsia" w:ascii="宋体" w:hAnsi="宋体" w:eastAsia="宋体" w:cs="宋体"/>
                <w:b w:val="0"/>
                <w:color w:val="auto"/>
                <w:sz w:val="24"/>
                <w:highlight w:val="none"/>
                <w:u w:val="none"/>
              </w:rPr>
              <w:t>时</w:t>
            </w:r>
            <w:r>
              <w:rPr>
                <w:rFonts w:hint="eastAsia" w:ascii="宋体" w:hAnsi="宋体" w:eastAsia="宋体" w:cs="宋体"/>
                <w:b w:val="0"/>
                <w:color w:val="auto"/>
                <w:sz w:val="24"/>
                <w:highlight w:val="none"/>
                <w:u w:val="none"/>
                <w:lang w:val="en-US" w:eastAsia="zh-CN"/>
              </w:rPr>
              <w:t>00</w:t>
            </w:r>
            <w:r>
              <w:rPr>
                <w:rFonts w:hint="eastAsia" w:ascii="宋体" w:hAnsi="宋体" w:eastAsia="宋体" w:cs="宋体"/>
                <w:b w:val="0"/>
                <w:color w:val="auto"/>
                <w:sz w:val="24"/>
                <w:highlight w:val="none"/>
                <w:u w:val="none"/>
              </w:rPr>
              <w:t>分</w:t>
            </w:r>
            <w:r>
              <w:rPr>
                <w:rFonts w:hint="eastAsia" w:ascii="宋体" w:hAnsi="宋体" w:eastAsia="宋体" w:cs="宋体"/>
                <w:b w:val="0"/>
                <w:color w:val="auto"/>
                <w:sz w:val="24"/>
                <w:highlight w:val="none"/>
              </w:rPr>
              <w:t>（公告期限界满之日）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958" w:type="pct"/>
            <w:vAlign w:val="center"/>
          </w:tcPr>
          <w:p>
            <w:pPr>
              <w:pStyle w:val="50"/>
              <w:widowControl w:val="0"/>
              <w:spacing w:before="0" w:beforeAutospacing="0" w:after="0" w:afterAutospacing="0" w:line="50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470"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不分包     □分为  个包</w:t>
            </w:r>
          </w:p>
          <w:p>
            <w:pPr>
              <w:pStyle w:val="50"/>
              <w:widowControl w:val="0"/>
              <w:spacing w:before="0" w:beforeAutospacing="0" w:after="0" w:afterAutospacing="0" w:line="50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958" w:type="pct"/>
            <w:vAlign w:val="center"/>
          </w:tcPr>
          <w:p>
            <w:pPr>
              <w:pStyle w:val="50"/>
              <w:widowControl w:val="0"/>
              <w:spacing w:before="0" w:beforeAutospacing="0" w:after="0" w:afterAutospacing="0" w:line="50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470" w:type="pct"/>
            <w:vAlign w:val="center"/>
          </w:tcPr>
          <w:p>
            <w:pPr>
              <w:spacing w:line="500" w:lineRule="exact"/>
              <w:rPr>
                <w:rFonts w:ascii="宋体" w:hAnsi="宋体" w:eastAsia="宋体" w:cs="宋体"/>
                <w:color w:val="auto"/>
                <w:highlight w:val="none"/>
              </w:rPr>
            </w:pPr>
            <w:r>
              <w:rPr>
                <w:rFonts w:hint="eastAsia" w:ascii="宋体" w:hAnsi="宋体" w:eastAsia="宋体" w:cs="宋体"/>
                <w:bCs/>
                <w:color w:val="auto"/>
                <w:kern w:val="0"/>
                <w:sz w:val="24"/>
                <w:szCs w:val="28"/>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958"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470"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90 </w:t>
            </w:r>
            <w:r>
              <w:rPr>
                <w:rFonts w:hint="eastAsia" w:ascii="宋体" w:hAnsi="宋体" w:eastAsia="宋体" w:cs="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571" w:type="pct"/>
            <w:vAlign w:val="center"/>
          </w:tcPr>
          <w:p>
            <w:pPr>
              <w:pStyle w:val="50"/>
              <w:widowControl w:val="0"/>
              <w:spacing w:before="0" w:beforeAutospacing="0" w:after="0" w:afterAutospacing="0" w:line="500" w:lineRule="exact"/>
              <w:jc w:val="both"/>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11.1</w:t>
            </w:r>
          </w:p>
        </w:tc>
        <w:tc>
          <w:tcPr>
            <w:tcW w:w="958"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供应商</w:t>
            </w:r>
            <w:r>
              <w:rPr>
                <w:rFonts w:hint="eastAsia" w:ascii="宋体" w:hAnsi="宋体" w:eastAsia="宋体" w:cs="宋体"/>
                <w:b w:val="0"/>
                <w:color w:val="auto"/>
                <w:sz w:val="24"/>
                <w:highlight w:val="none"/>
              </w:rPr>
              <w:t>提出问题的截止时间及方式</w:t>
            </w:r>
          </w:p>
        </w:tc>
        <w:tc>
          <w:tcPr>
            <w:tcW w:w="3470"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如</w:t>
            </w:r>
            <w:r>
              <w:rPr>
                <w:rFonts w:hint="eastAsia" w:ascii="宋体" w:hAnsi="宋体" w:eastAsia="宋体" w:cs="宋体"/>
                <w:b w:val="0"/>
                <w:color w:val="auto"/>
                <w:sz w:val="24"/>
                <w:highlight w:val="none"/>
                <w:lang w:eastAsia="zh-CN"/>
              </w:rPr>
              <w:t>供应商</w:t>
            </w:r>
            <w:r>
              <w:rPr>
                <w:rFonts w:hint="eastAsia" w:ascii="宋体" w:hAnsi="宋体" w:eastAsia="宋体" w:cs="宋体"/>
                <w:b w:val="0"/>
                <w:color w:val="auto"/>
                <w:sz w:val="24"/>
                <w:highlight w:val="none"/>
              </w:rPr>
              <w:t>对</w:t>
            </w:r>
            <w:r>
              <w:rPr>
                <w:rFonts w:hint="eastAsia" w:ascii="宋体" w:hAnsi="宋体" w:eastAsia="宋体" w:cs="宋体"/>
                <w:b w:val="0"/>
                <w:color w:val="auto"/>
                <w:sz w:val="24"/>
                <w:highlight w:val="none"/>
                <w:lang w:eastAsia="zh-CN"/>
              </w:rPr>
              <w:t>比价文件</w:t>
            </w:r>
            <w:r>
              <w:rPr>
                <w:rFonts w:hint="eastAsia" w:ascii="宋体" w:hAnsi="宋体" w:eastAsia="宋体" w:cs="宋体"/>
                <w:b w:val="0"/>
                <w:color w:val="auto"/>
                <w:sz w:val="24"/>
                <w:highlight w:val="none"/>
              </w:rPr>
              <w:t>有疑问，请于202</w:t>
            </w:r>
            <w:r>
              <w:rPr>
                <w:rFonts w:hint="eastAsia" w:ascii="宋体" w:hAnsi="宋体" w:eastAsia="宋体" w:cs="宋体"/>
                <w:b w:val="0"/>
                <w:color w:val="auto"/>
                <w:sz w:val="24"/>
                <w:highlight w:val="none"/>
                <w:lang w:val="en-US" w:eastAsia="zh-CN"/>
              </w:rPr>
              <w:t>4</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lang w:val="en-US" w:eastAsia="zh-CN"/>
              </w:rPr>
              <w:t>08</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lang w:val="en-US" w:eastAsia="zh-CN"/>
              </w:rPr>
              <w:t>22</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lang w:val="en-US" w:eastAsia="zh-CN"/>
              </w:rPr>
              <w:t>17</w:t>
            </w:r>
            <w:r>
              <w:rPr>
                <w:rFonts w:hint="eastAsia" w:ascii="宋体" w:hAnsi="宋体" w:eastAsia="宋体" w:cs="宋体"/>
                <w:b w:val="0"/>
                <w:color w:val="auto"/>
                <w:sz w:val="24"/>
                <w:highlight w:val="none"/>
              </w:rPr>
              <w:t>时前将疑问内容以邮件形式发送至</w:t>
            </w:r>
            <w:r>
              <w:rPr>
                <w:rFonts w:hint="eastAsia" w:ascii="宋体" w:hAnsi="宋体" w:eastAsia="宋体" w:cs="宋体"/>
                <w:b w:val="0"/>
                <w:color w:val="auto"/>
                <w:sz w:val="24"/>
                <w:highlight w:val="none"/>
                <w:lang w:val="en-US" w:eastAsia="zh-CN"/>
              </w:rPr>
              <w:t>40271471</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lang w:val="en-US" w:eastAsia="zh-CN"/>
              </w:rPr>
              <w:t>qq</w:t>
            </w:r>
            <w:r>
              <w:rPr>
                <w:rFonts w:hint="eastAsia" w:ascii="宋体" w:hAnsi="宋体" w:eastAsia="宋体" w:cs="宋体"/>
                <w:b w:val="0"/>
                <w:color w:val="auto"/>
                <w:sz w:val="24"/>
                <w:highlight w:val="none"/>
                <w:lang w:eastAsia="zh-CN"/>
              </w:rPr>
              <w:t>.com</w:t>
            </w:r>
            <w:r>
              <w:rPr>
                <w:rFonts w:hint="eastAsia" w:ascii="宋体" w:hAnsi="宋体" w:eastAsia="宋体" w:cs="宋体"/>
                <w:b w:val="0"/>
                <w:color w:val="auto"/>
                <w:sz w:val="24"/>
                <w:highlight w:val="none"/>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571" w:type="pct"/>
            <w:vAlign w:val="center"/>
          </w:tcPr>
          <w:p>
            <w:pPr>
              <w:pStyle w:val="50"/>
              <w:widowControl w:val="0"/>
              <w:spacing w:before="0" w:beforeAutospacing="0" w:after="0" w:afterAutospacing="0" w:line="500" w:lineRule="exact"/>
              <w:jc w:val="both"/>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11.2</w:t>
            </w:r>
          </w:p>
        </w:tc>
        <w:tc>
          <w:tcPr>
            <w:tcW w:w="958"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采购人</w:t>
            </w:r>
            <w:r>
              <w:rPr>
                <w:rFonts w:hint="eastAsia" w:ascii="宋体" w:hAnsi="宋体" w:eastAsia="宋体" w:cs="宋体"/>
                <w:b w:val="0"/>
                <w:color w:val="auto"/>
                <w:sz w:val="24"/>
                <w:highlight w:val="none"/>
              </w:rPr>
              <w:t>澄清的时间及方式</w:t>
            </w:r>
          </w:p>
        </w:tc>
        <w:tc>
          <w:tcPr>
            <w:tcW w:w="3470"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采购人</w:t>
            </w:r>
            <w:r>
              <w:rPr>
                <w:rFonts w:hint="eastAsia" w:ascii="宋体" w:hAnsi="宋体" w:eastAsia="宋体" w:cs="宋体"/>
                <w:b w:val="0"/>
                <w:color w:val="auto"/>
                <w:sz w:val="24"/>
                <w:highlight w:val="none"/>
              </w:rPr>
              <w:t>将在202</w:t>
            </w:r>
            <w:r>
              <w:rPr>
                <w:rFonts w:hint="eastAsia" w:ascii="宋体" w:hAnsi="宋体" w:eastAsia="宋体" w:cs="宋体"/>
                <w:b w:val="0"/>
                <w:color w:val="auto"/>
                <w:sz w:val="24"/>
                <w:highlight w:val="none"/>
                <w:lang w:val="en-US" w:eastAsia="zh-CN"/>
              </w:rPr>
              <w:t>4</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lang w:val="en-US" w:eastAsia="zh-CN"/>
              </w:rPr>
              <w:t>08</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lang w:val="en-US" w:eastAsia="zh-CN"/>
              </w:rPr>
              <w:t>23</w:t>
            </w:r>
            <w:r>
              <w:rPr>
                <w:rFonts w:hint="eastAsia" w:ascii="宋体" w:hAnsi="宋体" w:eastAsia="宋体" w:cs="宋体"/>
                <w:b w:val="0"/>
                <w:color w:val="auto"/>
                <w:sz w:val="24"/>
                <w:highlight w:val="none"/>
              </w:rPr>
              <w:t>日17时后以公告形式在</w:t>
            </w:r>
            <w:r>
              <w:rPr>
                <w:rFonts w:hint="eastAsia" w:ascii="宋体" w:hAnsi="宋体" w:eastAsia="宋体" w:cs="宋体"/>
                <w:b w:val="0"/>
                <w:color w:val="auto"/>
                <w:sz w:val="24"/>
                <w:highlight w:val="none"/>
                <w:lang w:val="en-US" w:eastAsia="zh-CN"/>
              </w:rPr>
              <w:t>滁州市机电工程学校（</w:t>
            </w:r>
            <w:r>
              <w:rPr>
                <w:rFonts w:hint="eastAsia" w:ascii="宋体" w:hAnsi="宋体" w:eastAsia="宋体" w:cs="宋体"/>
                <w:b w:val="0"/>
                <w:color w:val="auto"/>
                <w:sz w:val="24"/>
                <w:highlight w:val="none"/>
              </w:rPr>
              <w:t>http://www.cztc.edu.cn/</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公告，请各位</w:t>
            </w:r>
            <w:r>
              <w:rPr>
                <w:rFonts w:hint="eastAsia" w:ascii="宋体" w:hAnsi="宋体" w:eastAsia="宋体" w:cs="宋体"/>
                <w:b w:val="0"/>
                <w:color w:val="auto"/>
                <w:sz w:val="24"/>
                <w:highlight w:val="none"/>
                <w:lang w:eastAsia="zh-CN"/>
              </w:rPr>
              <w:t>供应商</w:t>
            </w:r>
            <w:r>
              <w:rPr>
                <w:rFonts w:hint="eastAsia" w:ascii="宋体" w:hAnsi="宋体" w:eastAsia="宋体" w:cs="宋体"/>
                <w:b w:val="0"/>
                <w:color w:val="auto"/>
                <w:sz w:val="24"/>
                <w:highlight w:val="none"/>
              </w:rPr>
              <w:t>注意查看有关澄清内容，如不及时查看造成后果由</w:t>
            </w:r>
            <w:r>
              <w:rPr>
                <w:rFonts w:hint="eastAsia" w:ascii="宋体" w:hAnsi="宋体" w:eastAsia="宋体" w:cs="宋体"/>
                <w:b w:val="0"/>
                <w:color w:val="auto"/>
                <w:sz w:val="24"/>
                <w:highlight w:val="none"/>
                <w:lang w:eastAsia="zh-CN"/>
              </w:rPr>
              <w:t>供应商</w:t>
            </w:r>
            <w:r>
              <w:rPr>
                <w:rFonts w:hint="eastAsia" w:ascii="宋体" w:hAnsi="宋体" w:eastAsia="宋体" w:cs="宋体"/>
                <w:b w:val="0"/>
                <w:color w:val="auto"/>
                <w:sz w:val="24"/>
                <w:highlight w:val="none"/>
              </w:rPr>
              <w:t>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958"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470" w:type="pct"/>
            <w:vAlign w:val="center"/>
          </w:tcPr>
          <w:p>
            <w:pPr>
              <w:pStyle w:val="50"/>
              <w:widowControl w:val="0"/>
              <w:spacing w:before="0" w:beforeAutospacing="0" w:after="0" w:afterAutospacing="0" w:line="500" w:lineRule="exact"/>
              <w:jc w:val="both"/>
              <w:rPr>
                <w:rFonts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采购人审查</w:t>
            </w:r>
          </w:p>
          <w:p>
            <w:pPr>
              <w:pStyle w:val="50"/>
              <w:widowControl w:val="0"/>
              <w:spacing w:before="0" w:beforeAutospacing="0" w:after="0" w:afterAutospacing="0" w:line="50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958"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470"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最低评标价法</w:t>
            </w:r>
          </w:p>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958"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470"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szCs w:val="24"/>
                <w:highlight w:val="none"/>
              </w:rPr>
              <w:t>评标委员会推荐3名中标候选人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958"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470" w:type="pct"/>
            <w:vAlign w:val="center"/>
          </w:tcPr>
          <w:p>
            <w:pPr>
              <w:spacing w:line="50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958"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3470"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（1）中小企业声明函；</w:t>
            </w:r>
            <w:r>
              <w:rPr>
                <w:rFonts w:hint="eastAsia" w:ascii="宋体" w:hAnsi="宋体" w:eastAsia="宋体" w:cs="宋体"/>
                <w:b w:val="0"/>
                <w:i/>
                <w:iCs/>
                <w:color w:val="auto"/>
                <w:sz w:val="24"/>
                <w:highlight w:val="none"/>
              </w:rPr>
              <w:t>（如有）</w:t>
            </w:r>
          </w:p>
          <w:p>
            <w:pPr>
              <w:pStyle w:val="50"/>
              <w:widowControl w:val="0"/>
              <w:spacing w:before="0" w:beforeAutospacing="0" w:after="0" w:afterAutospacing="0" w:line="50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（3）中标（成交）供应商的评审总得分</w:t>
            </w:r>
            <w:r>
              <w:rPr>
                <w:rFonts w:hint="eastAsia" w:ascii="宋体" w:hAnsi="宋体" w:eastAsia="宋体" w:cs="宋体"/>
                <w:b w:val="0"/>
                <w:i/>
                <w:iCs/>
                <w:color w:val="auto"/>
                <w:sz w:val="24"/>
                <w:highlight w:val="none"/>
              </w:rPr>
              <w:t>；</w:t>
            </w:r>
          </w:p>
          <w:p>
            <w:pPr>
              <w:pStyle w:val="50"/>
              <w:widowControl w:val="0"/>
              <w:spacing w:before="0" w:beforeAutospacing="0" w:after="0" w:afterAutospacing="0" w:line="500" w:lineRule="exact"/>
              <w:jc w:val="both"/>
              <w:rPr>
                <w:rFonts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rPr>
              <w:t>（4）中标（成交）供应商的业绩。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958"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470" w:type="pct"/>
            <w:vAlign w:val="center"/>
          </w:tcPr>
          <w:p>
            <w:pPr>
              <w:pStyle w:val="50"/>
              <w:widowControl w:val="0"/>
              <w:spacing w:before="0" w:beforeAutospacing="0" w:after="0" w:afterAutospacing="0" w:line="500" w:lineRule="exact"/>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958"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470" w:type="pct"/>
            <w:vAlign w:val="center"/>
          </w:tcPr>
          <w:p>
            <w:pPr>
              <w:spacing w:line="50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投标人自行登录</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pPr>
              <w:pStyle w:val="50"/>
              <w:widowControl w:val="0"/>
              <w:spacing w:before="0" w:beforeAutospacing="0" w:after="0" w:afterAutospacing="0" w:line="500" w:lineRule="exact"/>
              <w:jc w:val="both"/>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评标现场告知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958"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470" w:type="pct"/>
          </w:tcPr>
          <w:p>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rPr>
              <w:t xml:space="preserve"> / </w:t>
            </w:r>
            <w:r>
              <w:rPr>
                <w:rFonts w:ascii="宋体" w:hAnsi="宋体" w:eastAsia="宋体"/>
                <w:bCs/>
                <w:color w:val="auto"/>
                <w:kern w:val="0"/>
                <w:sz w:val="24"/>
                <w:szCs w:val="28"/>
                <w:highlight w:val="none"/>
              </w:rPr>
              <w:t>%</w:t>
            </w:r>
          </w:p>
          <w:p>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定额收取：人民币元</w:t>
            </w:r>
          </w:p>
          <w:p>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pPr>
              <w:spacing w:line="360" w:lineRule="auto"/>
              <w:rPr>
                <w:rFonts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w:t>
            </w:r>
          </w:p>
          <w:p>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w:t>
            </w:r>
          </w:p>
          <w:p>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w:t>
            </w:r>
          </w:p>
          <w:p>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pPr>
              <w:spacing w:line="500" w:lineRule="exact"/>
              <w:rPr>
                <w:rFonts w:ascii="宋体" w:hAnsi="宋体" w:eastAsia="宋体" w:cs="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958"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3470" w:type="pct"/>
          </w:tcPr>
          <w:p>
            <w:pPr>
              <w:adjustRightInd w:val="0"/>
              <w:snapToGrid w:val="0"/>
              <w:spacing w:line="500" w:lineRule="exact"/>
              <w:rPr>
                <w:rFonts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采购人与中标人应当自发出中标通知书之日起7个工作日内签订合同</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958"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3470"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项目招标代理费3000元,不含专家评审费，专家评审费按实际发生为准，另行支付（无票据）。上述费用均由中标单位在获取中标通知书时一次性支付给代理公司。</w:t>
            </w:r>
          </w:p>
          <w:p>
            <w:pPr>
              <w:pStyle w:val="50"/>
              <w:widowControl w:val="0"/>
              <w:spacing w:before="0" w:beforeAutospacing="0" w:after="0" w:afterAutospacing="0" w:line="500" w:lineRule="exact"/>
              <w:jc w:val="both"/>
              <w:rPr>
                <w:rFonts w:ascii="宋体" w:hAnsi="宋体" w:eastAsia="宋体" w:cs="宋体"/>
                <w:b w:val="0"/>
                <w:color w:val="auto"/>
                <w:sz w:val="24"/>
                <w:highlight w:val="none"/>
              </w:rPr>
            </w:pPr>
            <w:bookmarkStart w:id="34" w:name="_Toc29669"/>
            <w:bookmarkStart w:id="35" w:name="_Toc76894458"/>
            <w:bookmarkStart w:id="36" w:name="_Toc14870"/>
            <w:r>
              <w:rPr>
                <w:rFonts w:hint="eastAsia" w:ascii="宋体" w:hAnsi="宋体" w:eastAsia="宋体" w:cs="宋体"/>
                <w:b w:val="0"/>
                <w:color w:val="auto"/>
                <w:sz w:val="24"/>
                <w:highlight w:val="none"/>
              </w:rPr>
              <w:t>代理服务费及专家费支付主体：中标单位 。</w:t>
            </w:r>
            <w:bookmarkEnd w:id="34"/>
            <w:bookmarkEnd w:id="35"/>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958"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470"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color w:val="auto"/>
                <w:sz w:val="24"/>
                <w:highlight w:val="none"/>
                <w:u w:val="single"/>
              </w:rPr>
              <w:t>投标人可以通过书面形式提出。一份质疑函只能针对一个项目提出质疑，且针对同一采购程序环节的质疑应当一次性提出；</w:t>
            </w:r>
          </w:p>
          <w:p>
            <w:pPr>
              <w:pStyle w:val="50"/>
              <w:widowControl w:val="0"/>
              <w:spacing w:before="0" w:beforeAutospacing="0" w:after="0" w:afterAutospacing="0" w:line="500" w:lineRule="exact"/>
              <w:jc w:val="both"/>
              <w:rPr>
                <w:rFonts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color w:val="auto"/>
                <w:sz w:val="24"/>
                <w:highlight w:val="none"/>
                <w:u w:val="single"/>
                <w:lang w:eastAsia="zh-CN"/>
              </w:rPr>
              <w:t>滁州市机电工程学校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安徽人和项目管理有限公司</w:t>
            </w:r>
            <w:r>
              <w:rPr>
                <w:rFonts w:hint="eastAsia" w:ascii="宋体" w:hAnsi="宋体" w:eastAsia="宋体" w:cs="宋体"/>
                <w:color w:val="auto"/>
                <w:sz w:val="24"/>
                <w:highlight w:val="none"/>
                <w:u w:val="single"/>
              </w:rPr>
              <w:t>；</w:t>
            </w:r>
          </w:p>
          <w:p>
            <w:pPr>
              <w:pStyle w:val="50"/>
              <w:widowControl w:val="0"/>
              <w:spacing w:before="0" w:beforeAutospacing="0" w:after="0" w:afterAutospacing="0" w:line="500" w:lineRule="exact"/>
              <w:jc w:val="both"/>
              <w:rPr>
                <w:rFonts w:ascii="宋体" w:hAnsi="宋体" w:eastAsia="宋体" w:cs="宋体"/>
                <w:color w:val="auto"/>
                <w:sz w:val="24"/>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b/>
                <w:bCs w:val="0"/>
                <w:color w:val="auto"/>
                <w:sz w:val="24"/>
                <w:highlight w:val="none"/>
                <w:u w:val="single"/>
              </w:rPr>
              <w:t>13955009393、</w:t>
            </w:r>
            <w:r>
              <w:rPr>
                <w:rFonts w:hint="eastAsia" w:ascii="宋体" w:hAnsi="宋体" w:eastAsia="宋体" w:cs="宋体"/>
                <w:b/>
                <w:bCs w:val="0"/>
                <w:color w:val="auto"/>
                <w:sz w:val="24"/>
                <w:highlight w:val="none"/>
                <w:u w:val="single"/>
                <w:lang w:val="en-US" w:eastAsia="zh-CN"/>
              </w:rPr>
              <w:t>139656</w:t>
            </w:r>
            <w:r>
              <w:rPr>
                <w:rFonts w:hint="eastAsia" w:ascii="宋体" w:hAnsi="宋体" w:eastAsia="宋体" w:cs="宋体"/>
                <w:color w:val="auto"/>
                <w:sz w:val="24"/>
                <w:highlight w:val="none"/>
                <w:u w:val="single"/>
                <w:lang w:val="en-US" w:eastAsia="zh-CN"/>
              </w:rPr>
              <w:t>38745</w:t>
            </w:r>
            <w:r>
              <w:rPr>
                <w:rFonts w:hint="eastAsia" w:ascii="宋体" w:hAnsi="宋体" w:eastAsia="宋体" w:cs="宋体"/>
                <w:color w:val="auto"/>
                <w:sz w:val="24"/>
                <w:highlight w:val="none"/>
                <w:u w:val="single"/>
              </w:rPr>
              <w:t>；</w:t>
            </w:r>
          </w:p>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lang w:eastAsia="zh-CN"/>
              </w:rPr>
              <w:t>安徽省滁州市丰乐大道2238号</w:t>
            </w:r>
            <w:r>
              <w:rPr>
                <w:rFonts w:hint="eastAsia" w:ascii="宋体" w:hAnsi="宋体" w:eastAsia="宋体" w:cs="宋体"/>
                <w:color w:val="auto"/>
                <w:sz w:val="24"/>
                <w:highlight w:val="none"/>
                <w:u w:val="single"/>
                <w:lang w:val="en-US" w:eastAsia="zh-CN"/>
              </w:rPr>
              <w:t>综合楼总务处</w:t>
            </w:r>
            <w:r>
              <w:rPr>
                <w:rFonts w:hint="eastAsia" w:ascii="宋体" w:hAnsi="宋体" w:eastAsia="宋体" w:cs="宋体"/>
                <w:color w:val="auto"/>
                <w:sz w:val="24"/>
                <w:highlight w:val="none"/>
                <w:u w:val="single"/>
                <w:lang w:eastAsia="zh-CN"/>
              </w:rPr>
              <w:t>、滁州市凤凰西路延伸段凤凰大厦二单元406室。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0"/>
              <w:widowControl w:val="0"/>
              <w:spacing w:before="0" w:beforeAutospacing="0" w:after="0" w:afterAutospacing="0" w:line="500" w:lineRule="exact"/>
              <w:jc w:val="center"/>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32</w:t>
            </w:r>
          </w:p>
        </w:tc>
        <w:tc>
          <w:tcPr>
            <w:tcW w:w="958"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投标文件数量</w:t>
            </w:r>
          </w:p>
        </w:tc>
        <w:tc>
          <w:tcPr>
            <w:tcW w:w="3470"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正本1份，副本2份，封面右上角须注明正副本，正本与副本不一致时，以正本为准。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0"/>
              <w:widowControl w:val="0"/>
              <w:spacing w:before="0" w:beforeAutospacing="0" w:after="0" w:afterAutospacing="0" w:line="500" w:lineRule="exact"/>
              <w:jc w:val="center"/>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33</w:t>
            </w:r>
          </w:p>
        </w:tc>
        <w:tc>
          <w:tcPr>
            <w:tcW w:w="958"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签字或盖章要求</w:t>
            </w:r>
          </w:p>
        </w:tc>
        <w:tc>
          <w:tcPr>
            <w:tcW w:w="3470"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投标文件须按格式文件要求签字或盖章，否则经资格审查委员会一致认定后, 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0"/>
              <w:widowControl w:val="0"/>
              <w:spacing w:before="0" w:beforeAutospacing="0" w:after="0" w:afterAutospacing="0" w:line="500" w:lineRule="exact"/>
              <w:jc w:val="center"/>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34</w:t>
            </w:r>
          </w:p>
        </w:tc>
        <w:tc>
          <w:tcPr>
            <w:tcW w:w="958"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投标文件提交截止时间</w:t>
            </w:r>
          </w:p>
        </w:tc>
        <w:tc>
          <w:tcPr>
            <w:tcW w:w="3470"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202</w:t>
            </w:r>
            <w:r>
              <w:rPr>
                <w:rFonts w:hint="eastAsia" w:ascii="宋体" w:hAnsi="宋体" w:eastAsia="宋体" w:cs="宋体"/>
                <w:b w:val="0"/>
                <w:color w:val="auto"/>
                <w:sz w:val="24"/>
                <w:highlight w:val="none"/>
                <w:lang w:val="en-US" w:eastAsia="zh-CN"/>
              </w:rPr>
              <w:t>4</w:t>
            </w:r>
            <w:r>
              <w:rPr>
                <w:rFonts w:hint="eastAsia" w:ascii="宋体" w:hAnsi="宋体" w:eastAsia="宋体" w:cs="宋体"/>
                <w:b w:val="0"/>
                <w:color w:val="auto"/>
                <w:sz w:val="24"/>
                <w:highlight w:val="none"/>
              </w:rPr>
              <w:t>年 0</w:t>
            </w:r>
            <w:r>
              <w:rPr>
                <w:rFonts w:hint="eastAsia" w:ascii="宋体" w:hAnsi="宋体" w:eastAsia="宋体" w:cs="宋体"/>
                <w:b w:val="0"/>
                <w:color w:val="auto"/>
                <w:sz w:val="24"/>
                <w:highlight w:val="none"/>
                <w:lang w:val="en-US" w:eastAsia="zh-CN"/>
              </w:rPr>
              <w:t>8</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lang w:val="en-US" w:eastAsia="zh-CN"/>
              </w:rPr>
              <w:t>27</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lang w:val="en-US" w:eastAsia="zh-CN"/>
              </w:rPr>
              <w:t>15</w:t>
            </w:r>
            <w:r>
              <w:rPr>
                <w:rFonts w:hint="eastAsia" w:ascii="宋体" w:hAnsi="宋体" w:eastAsia="宋体" w:cs="宋体"/>
                <w:b w:val="0"/>
                <w:color w:val="auto"/>
                <w:sz w:val="24"/>
                <w:highlight w:val="none"/>
              </w:rPr>
              <w:t>时00 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0"/>
              <w:widowControl w:val="0"/>
              <w:spacing w:before="0" w:beforeAutospacing="0" w:after="0" w:afterAutospacing="0" w:line="500" w:lineRule="exact"/>
              <w:jc w:val="center"/>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35</w:t>
            </w:r>
          </w:p>
        </w:tc>
        <w:tc>
          <w:tcPr>
            <w:tcW w:w="958"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投标文件密封</w:t>
            </w:r>
          </w:p>
        </w:tc>
        <w:tc>
          <w:tcPr>
            <w:tcW w:w="3470"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将证明文件正副本密封于</w:t>
            </w:r>
            <w:r>
              <w:rPr>
                <w:rFonts w:hint="eastAsia" w:ascii="宋体" w:hAnsi="宋体" w:eastAsia="宋体" w:cs="宋体"/>
                <w:b w:val="0"/>
                <w:color w:val="auto"/>
                <w:sz w:val="24"/>
                <w:highlight w:val="none"/>
                <w:lang w:val="en-US" w:eastAsia="zh-CN"/>
              </w:rPr>
              <w:t>密封</w:t>
            </w:r>
            <w:r>
              <w:rPr>
                <w:rFonts w:hint="eastAsia" w:ascii="宋体" w:hAnsi="宋体" w:eastAsia="宋体" w:cs="宋体"/>
                <w:b w:val="0"/>
                <w:color w:val="auto"/>
                <w:sz w:val="24"/>
                <w:highlight w:val="none"/>
              </w:rPr>
              <w:t>袋内</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投标文件密封袋上应注明：</w:t>
            </w:r>
          </w:p>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投标人地址：</w:t>
            </w:r>
          </w:p>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投标人名称：</w:t>
            </w:r>
          </w:p>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（项目名称）投标文件</w:t>
            </w:r>
          </w:p>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在    年    月    日   时  分（开标时间）前不得开启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0"/>
              <w:widowControl w:val="0"/>
              <w:spacing w:before="0" w:beforeAutospacing="0" w:after="0" w:afterAutospacing="0" w:line="500" w:lineRule="exact"/>
              <w:jc w:val="center"/>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36</w:t>
            </w:r>
          </w:p>
        </w:tc>
        <w:tc>
          <w:tcPr>
            <w:tcW w:w="958"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是否退还投标文件</w:t>
            </w:r>
          </w:p>
        </w:tc>
        <w:tc>
          <w:tcPr>
            <w:tcW w:w="3470"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fldChar w:fldCharType="begin"/>
            </w:r>
            <w:r>
              <w:rPr>
                <w:rFonts w:hint="eastAsia" w:ascii="宋体" w:hAnsi="宋体" w:eastAsia="宋体" w:cs="宋体"/>
                <w:b w:val="0"/>
                <w:color w:val="auto"/>
                <w:sz w:val="24"/>
                <w:highlight w:val="none"/>
              </w:rPr>
              <w:instrText xml:space="preserve"> eq \o\ac(□,√)</w:instrText>
            </w:r>
            <w:r>
              <w:rPr>
                <w:rFonts w:hint="eastAsia" w:ascii="宋体" w:hAnsi="宋体" w:eastAsia="宋体" w:cs="宋体"/>
                <w:b w:val="0"/>
                <w:color w:val="auto"/>
                <w:sz w:val="24"/>
                <w:highlight w:val="none"/>
              </w:rPr>
              <w:fldChar w:fldCharType="end"/>
            </w:r>
            <w:r>
              <w:rPr>
                <w:rFonts w:hint="eastAsia" w:ascii="宋体" w:hAnsi="宋体" w:eastAsia="宋体" w:cs="宋体"/>
                <w:b w:val="0"/>
                <w:color w:val="auto"/>
                <w:sz w:val="24"/>
                <w:highlight w:val="none"/>
              </w:rPr>
              <w:t>否；□是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0"/>
              <w:widowControl w:val="0"/>
              <w:spacing w:before="0" w:beforeAutospacing="0" w:after="0" w:afterAutospacing="0" w:line="500" w:lineRule="exact"/>
              <w:jc w:val="center"/>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lang w:val="en-US" w:eastAsia="zh-CN"/>
              </w:rPr>
              <w:t>37</w:t>
            </w:r>
          </w:p>
        </w:tc>
        <w:tc>
          <w:tcPr>
            <w:tcW w:w="958"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开标程序</w:t>
            </w:r>
          </w:p>
        </w:tc>
        <w:tc>
          <w:tcPr>
            <w:tcW w:w="3470"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密封情况：由投标人或其推选的代表检查投标文件的密封情况。</w:t>
            </w:r>
          </w:p>
          <w:p>
            <w:pPr>
              <w:pStyle w:val="50"/>
              <w:widowControl w:val="0"/>
              <w:spacing w:before="0" w:beforeAutospacing="0" w:after="0" w:afterAutospacing="0" w:line="50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开标顺序：先进行资格审查，资格审查合格后依次进行资信标、</w:t>
            </w:r>
            <w:r>
              <w:rPr>
                <w:rFonts w:hint="eastAsia" w:ascii="宋体" w:hAnsi="宋体" w:eastAsia="宋体" w:cs="宋体"/>
                <w:b w:val="0"/>
                <w:color w:val="auto"/>
                <w:sz w:val="24"/>
                <w:highlight w:val="none"/>
                <w:lang w:val="en-US" w:eastAsia="zh-CN"/>
              </w:rPr>
              <w:t>技术标、</w:t>
            </w:r>
            <w:r>
              <w:rPr>
                <w:rFonts w:hint="eastAsia" w:ascii="宋体" w:hAnsi="宋体" w:eastAsia="宋体" w:cs="宋体"/>
                <w:b w:val="0"/>
                <w:color w:val="auto"/>
                <w:sz w:val="24"/>
                <w:highlight w:val="none"/>
              </w:rPr>
              <w:t>商务标评审。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pPr>
              <w:pStyle w:val="51"/>
              <w:pBdr>
                <w:bottom w:val="none" w:color="auto" w:sz="0" w:space="0"/>
              </w:pBdr>
              <w:tabs>
                <w:tab w:val="clear" w:pos="4153"/>
                <w:tab w:val="clear" w:pos="8306"/>
              </w:tabs>
              <w:adjustRightInd/>
              <w:spacing w:line="500" w:lineRule="exact"/>
              <w:jc w:val="center"/>
              <w:textAlignment w:val="auto"/>
              <w:rPr>
                <w:rFonts w:hint="default"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38</w:t>
            </w:r>
          </w:p>
        </w:tc>
        <w:tc>
          <w:tcPr>
            <w:tcW w:w="958"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3470"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pPr>
              <w:spacing w:line="50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pPr>
              <w:spacing w:line="50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pPr>
              <w:spacing w:line="50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pPr>
              <w:spacing w:line="50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2</w:t>
            </w:r>
            <w:r>
              <w:rPr>
                <w:rFonts w:hint="eastAsia" w:ascii="宋体" w:hAnsi="宋体" w:eastAsia="宋体" w:cs="宋体"/>
                <w:b w:val="0"/>
                <w:color w:val="auto"/>
                <w:kern w:val="2"/>
                <w:sz w:val="24"/>
                <w:szCs w:val="24"/>
                <w:highlight w:val="none"/>
              </w:rPr>
              <w:t>.同义词语：</w:t>
            </w:r>
          </w:p>
          <w:p>
            <w:pPr>
              <w:pStyle w:val="50"/>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tc>
      </w:tr>
    </w:tbl>
    <w:p>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7" w:name="_Toc24882"/>
      <w:bookmarkStart w:id="38"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37"/>
      <w:bookmarkEnd w:id="38"/>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1.采购人、采购代理机构及投标人</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1.1采购人：是指依法开展政府采购活动的国家机关、事业单位、团体组织。</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1.2采购代理机构：是指集中采购机构或从事采购代理业务的社会中介机构。</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1.3政府采购监督管理部门：各级人民政府指定的有关部门依法履行与政府采购活动有关的监督管理职责。</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1.4.1具备《中华人民共和国政府采购法》第二十二条关于供应商条件的规定，遵守本项目采购人本级和上级财政部门政府采购的有关规定。</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1.4.2以采购代理机构认可的方式获得了本项目的招标文件。</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1.4.3若采购需求中写明允许采购进口产品，投标人应保证所投产品可履行合法报通关手续进入中国关境内。</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若采购需求中未写明允许采购进口产品，如投标人所投产品为进口产品，其投标将被认定为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1.5若招标公告中允许联合体投标，对联合体规定如下：</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1.5.1两个以上供应商可以组成一个投标联合体，以一个投标人的身份投标。联合体投标的，招标文件获取手续由联合体中任一成员单位办理均可。</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1.5.2联合体各方均应符合《中华人民共和国政府采购法》第二十二条规定的条件。</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1.5.3采购人根据采购项目对投标人的特殊要求，联合体中至少应当有一方符合相关规定。</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1.5.4联合体各方应签订联合协议，明确约定联合体各方承担的工作和相应的责任，并将联合协议作为投标文件的一部分提交。</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1.5.5大中型企业、其他自然人、法人或者非法人组织与小型、微型企业组成联合体共同参加投标，联合协议中应写明小型、微型企业的协议合同金额占到联合协议投标总金额的比例。</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1.5.6联合体中有同类资质的供应商按照联合体分工承担相同工作的，应当按照资质等级较低的供应商确定资质等级。</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1.5.8对联合体投标的其他资格要求见申请人的资格要求。</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2.资金落实情况</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2.1本项目的采购人已获得足以支付本次招标后所签订的合同项下的资金。</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不论投标的结果如何，投标人应承担所有与准备和参加投标有关的费用。</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4.适用法律</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5.招标文件构成</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5.1招标文件包括下列内容：</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投标邀请</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评标方法和标准</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政府采购合同</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投标文件格式</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政府采购询问函和质疑函范本</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5.2现场考察（</w:t>
      </w:r>
      <w:r>
        <w:rPr>
          <w:rFonts w:hint="eastAsia" w:ascii="宋体" w:hAnsi="宋体" w:eastAsia="宋体" w:cs="宋体"/>
          <w:bCs/>
          <w:color w:val="auto"/>
          <w:sz w:val="24"/>
          <w:szCs w:val="24"/>
          <w:highlight w:val="none"/>
        </w:rPr>
        <w:t>标前答疑会</w:t>
      </w:r>
      <w:r>
        <w:rPr>
          <w:rFonts w:hint="eastAsia" w:ascii="宋体" w:hAnsi="宋体" w:eastAsia="宋体" w:cs="宋体"/>
          <w:color w:val="auto"/>
          <w:sz w:val="24"/>
          <w:szCs w:val="24"/>
          <w:highlight w:val="none"/>
        </w:rPr>
        <w:t>）及相关事项见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5.3投标人应认真阅读招标文件所有的事项、格式、条款和技术规范等。</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6.招标文件的澄清与修改</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ascii="宋体" w:hAnsi="宋体" w:eastAsia="宋体"/>
          <w:color w:val="auto"/>
          <w:sz w:val="24"/>
          <w:highlight w:val="none"/>
        </w:rPr>
        <w:t>投标人如对招标文件内容有疑问，</w:t>
      </w:r>
      <w:r>
        <w:rPr>
          <w:rFonts w:hint="eastAsia" w:ascii="宋体" w:hAnsi="宋体" w:eastAsia="宋体"/>
          <w:color w:val="auto"/>
          <w:sz w:val="24"/>
          <w:highlight w:val="none"/>
        </w:rPr>
        <w:t>可</w:t>
      </w:r>
      <w:r>
        <w:rPr>
          <w:rFonts w:ascii="宋体" w:hAnsi="宋体" w:eastAsia="宋体"/>
          <w:color w:val="auto"/>
          <w:sz w:val="24"/>
          <w:highlight w:val="none"/>
        </w:rPr>
        <w:t>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截止时间前提交给采购代理机构。</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6.2采购人可主动地或在答复投标人提出的询问时对招标文件进行澄清与修改。采购代理机构将在安徽省政府采购网和</w:t>
      </w:r>
      <w:r>
        <w:rPr>
          <w:rFonts w:hint="eastAsia" w:ascii="宋体" w:hAnsi="宋体" w:eastAsia="宋体" w:cs="宋体"/>
          <w:color w:val="auto"/>
          <w:sz w:val="24"/>
          <w:szCs w:val="24"/>
          <w:highlight w:val="none"/>
          <w:lang w:eastAsia="zh-CN"/>
        </w:rPr>
        <w:t>滁州市机电工程学校</w:t>
      </w:r>
      <w:r>
        <w:rPr>
          <w:rFonts w:hint="eastAsia" w:ascii="宋体" w:hAnsi="宋体" w:eastAsia="宋体" w:cs="宋体"/>
          <w:color w:val="auto"/>
          <w:sz w:val="24"/>
          <w:szCs w:val="24"/>
          <w:highlight w:val="none"/>
        </w:rPr>
        <w:t>以发布更正公告的方式，澄清或修改招标文件，更正公告的内容作为招标文件的组成部分，对投标人起约束作用。投标人应主动上网查询。采购代理机构不承担投标人未及时关注相关信息引发的相关责任。</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pPr>
        <w:spacing w:line="500" w:lineRule="exact"/>
        <w:ind w:left="-420" w:leftChars="-200" w:firstLine="436" w:firstLineChars="182"/>
        <w:jc w:val="left"/>
        <w:rPr>
          <w:rFonts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szCs w:val="24"/>
          <w:highlight w:val="none"/>
        </w:rPr>
        <w:t>。</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7.投标范围及投标文件中标准和计量单位的使用</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7.1项目有分包的，投标人可对招标文件其中某一个或几个分包进行投标，除非在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中另有规定。</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bookmarkStart w:id="39" w:name="_Hlk16458980"/>
      <w:r>
        <w:rPr>
          <w:rFonts w:hint="eastAsia" w:ascii="宋体" w:hAnsi="宋体" w:eastAsia="宋体" w:cs="宋体"/>
          <w:color w:val="auto"/>
          <w:sz w:val="24"/>
          <w:szCs w:val="24"/>
          <w:highlight w:val="none"/>
        </w:rPr>
        <w:t>7.3无论招标文件中是否要求，投标人所投货物、服务及工程（如有）均应符合国家强制性标准。</w:t>
      </w:r>
    </w:p>
    <w:bookmarkEnd w:id="39"/>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7.5除招标文件中有特殊要求外，投标文件中所使用的计量单位，应采用中华人民共和国法定计量单位。</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8.投标文件构成</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8.1投标人应完整地按招标文件提供的投标文件格式及要求编写投标文件，具体内容详见本项目投标文件格式的相关内容。</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8.2投标人应提交招标文件要求的证明文件，证明其投标内容符合招标文件规定，该证明文件是投标文件的一部分。证明文件形式可以是文字资料、图纸和数据</w:t>
      </w:r>
      <w:bookmarkStart w:id="40" w:name="_Hlk11703583"/>
      <w:r>
        <w:rPr>
          <w:rFonts w:hint="eastAsia" w:ascii="宋体" w:hAnsi="宋体" w:eastAsia="宋体" w:cs="宋体"/>
          <w:color w:val="auto"/>
          <w:sz w:val="24"/>
          <w:szCs w:val="24"/>
          <w:highlight w:val="none"/>
        </w:rPr>
        <w:t>等。</w:t>
      </w:r>
    </w:p>
    <w:bookmarkEnd w:id="40"/>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8.3为保证公平公正，除非另有规定或说明，投标人对同一项目投标时，不得同时提供备选投标方案。</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9.投标报价</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9.1投标人的报价应当包括满足本次招标全部采购需求。除招标文件另有规定外，所有投标均应以人民币报价。投标人的投标报价应遵守《中华人民共和国价格法》。</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9.2投标人报价超过招标文件规定的预算金额或者分项、分包最高限价，其投标将被认定为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9.5采购人不接受具有附加条件的报价。</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10.投标保证金</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10.1本项目不收取投标保证金。</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11.投标有效期</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11.1投标有效期为从投标截止之日算起的日历天数，投标有效期详见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12.投标文件的递交、修改与撤回</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12.1投标人应当在招标公告规定的投标截止时间前，将投标文件在</w:t>
      </w:r>
      <w:r>
        <w:rPr>
          <w:rFonts w:hint="eastAsia" w:ascii="宋体" w:hAnsi="宋体" w:eastAsia="宋体" w:cs="宋体"/>
          <w:color w:val="auto"/>
          <w:sz w:val="24"/>
          <w:szCs w:val="24"/>
          <w:highlight w:val="none"/>
          <w:lang w:val="en-US" w:eastAsia="zh-CN"/>
        </w:rPr>
        <w:t>现场递交</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12.2投标人应当在投标截止时间前完成投标文件的递交，并可以补充、修改或者撤回投标文件。投标截止时间前未完成投标文件</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的，视为撤回投标文件。</w:t>
      </w:r>
      <w:r>
        <w:rPr>
          <w:rFonts w:hint="eastAsia" w:ascii="宋体" w:hAnsi="宋体" w:eastAsia="宋体" w:cs="宋体"/>
          <w:color w:val="auto"/>
          <w:sz w:val="24"/>
          <w:szCs w:val="24"/>
          <w:highlight w:val="none"/>
          <w:lang w:val="en-US" w:eastAsia="zh-CN"/>
        </w:rPr>
        <w:t>接受现场</w:t>
      </w:r>
      <w:r>
        <w:rPr>
          <w:rFonts w:hint="eastAsia" w:ascii="宋体" w:hAnsi="宋体" w:eastAsia="宋体" w:cs="宋体"/>
          <w:color w:val="auto"/>
          <w:sz w:val="24"/>
          <w:szCs w:val="24"/>
          <w:highlight w:val="none"/>
        </w:rPr>
        <w:t>应当拒收。</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13.开标</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13.1开标时，各投标人应在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时间前对其投标文件进行</w:t>
      </w:r>
      <w:r>
        <w:rPr>
          <w:rFonts w:hint="eastAsia" w:ascii="宋体" w:hAnsi="宋体" w:eastAsia="宋体" w:cs="宋体"/>
          <w:color w:val="auto"/>
          <w:sz w:val="24"/>
          <w:szCs w:val="24"/>
          <w:highlight w:val="none"/>
          <w:lang w:val="en-US" w:eastAsia="zh-CN"/>
        </w:rPr>
        <w:t>接收</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13.2开标时，采购代理机构将通过开标</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公布开标结果，公布内容包括投标人名称、投标价格及招标文件规定的内容。</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13.3采购人或采购代理机构将对开标过程进行记录，并存档备查。</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13.4投标人代表对开标过程和开标记录有疑义，以及认为采购人、采购代理机构相关工作人员有需要回避的情形的，应当场提出询问或者回避申请。</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14.资格审查及组建评标委员会</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14.1采购人或采购代理机构依据法律法规和招标文件中规定的内容，对投标人资格进行审查，未通过资格审查的投标人不进入评标。</w:t>
      </w:r>
    </w:p>
    <w:p>
      <w:pPr>
        <w:spacing w:line="500" w:lineRule="exact"/>
        <w:ind w:left="-420" w:leftChars="-200" w:firstLine="436" w:firstLineChars="182"/>
        <w:jc w:val="left"/>
        <w:rPr>
          <w:rFonts w:ascii="宋体" w:hAnsi="宋体" w:eastAsia="宋体" w:cs="宋体"/>
          <w:color w:val="auto"/>
          <w:sz w:val="24"/>
          <w:szCs w:val="24"/>
          <w:highlight w:val="none"/>
        </w:rPr>
      </w:pPr>
      <w:bookmarkStart w:id="41"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41"/>
    <w:p>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15.投标文件符合性审查与澄清</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15.1符合性审查是指依据招标文件的规定，从投标文件的有效性和完整性对招标文件的响应程度进行审查，以确定是否对招标文件的实质性要求做出响应。</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15.2投标文件的澄清</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有询标，投标人授权代表（或法定代表人）可凭本人有效身份证明参加询标。因投标人授权代表联系不上等情形而无法接受评标委员会询标的，投标人自行承担相关风险。15.2.2投标人的澄清、说明或补正将作为投标文件的一部分。</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15.2.3评标委员会对投标人提交的澄清、说明或补正有疑问的，可以要求投标人进一步澄清、说明或补正，直至满足评标委员会的要求。</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15.3投标文件报价出现前后不一致的，按照下列规定修正：</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（1）投标文件中开标一览表内容与投标文件中相应内容不一致的，以开标一览表为准；</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第15.4条的规定经投标人确认后产生约束力，无论投标人是接受或是拒绝调整后的价格，都应当由投标人在系统中确认。投标人拒绝对投标文件出现的错漏按上述原则进行修正、澄清、说明，其投标将被认定为投标无效。</w:t>
      </w:r>
    </w:p>
    <w:p>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对不同文字文本投标文件的解释发生异议的，以中文文本为准。</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16.投标无效</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16.1根据本招标文件的规定，评标委员会要审查每份投标文件是否实质上响应了招标文件的要求。投标人不得通过修正或撤销不符合要求的偏离，从而使其投标成为实质上响应的投标。</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评标委员会决定投标的响应性只根据招标文件要求和投标文件内容。</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无论何种原因，即使投标人投标时携带了证书材料的原件，但投标文件中未提供与之内容完全一致的扫描件的，评标委员会视同其未提供。</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16.2如发现下列情况之一的，其投标将被认定为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（1）投标文件未按照招标文件规定要求签署、盖章的；</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（2）不具备招标文件中规定的资格要求的；</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（3）报价超过招标文件中规定的预算金额或者最高限价的；</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（4）投标文件含有采购人不能接受的附加条件的；</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（5）法律、法规和招标文件规定的其他无效情形。</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17.比较与评价</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17.1经符合性审查合格的投标文件，评标委员会将根据招标文件确定的评标方法和标准，对其投标文件作进一步的比较与评价。</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17.2评标严格按照招标文件的要求和条件进行。根据实际情况，在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中规定采用下列评标方法，详细评标方法和标准见招标文件第四章：</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（1）最低评标价法，是指投标文件满足招标文件全部实质性要求，且投标报价最低的投标人为中标候选人的评标方法。</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（2）综合评分法，是指投标文件满足招标文件全部实质性要求，且按照评审因素的量化指标评审得分最高的投标人为中标候选人的评标方法。</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中规定的标准扣除后的价格参与评审。对于同时属于小微企业、监狱企业或残疾人福利性单位的，不重复进行投标报价扣除。</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中规定的标准扣除后的价格参与评审。组成联合体或者接受分包的小微企业与联合体内其他企业、分包企业之间存在直接控股、管理关系的，不享受价格扣除优惠政策。</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18.废标、重新招标与变更采购方式</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18.1出现下列情形之一，将导致项目废标：</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（1）符合专业条件的供应商或者对招标文件做实质性响应的供应商不足规定数量的；</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18.2公开招标数额标准以上的采购项目，投标截止后投标人不足3家或者通过资格审查或符合性审查的投标人不足3家的，除采购任务取消情形外，按照以下方式处理：</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（1）招标文件存在不合理条款或者招标程序不符合规定的，采购人、采购代理机构改正后依法重新招标；</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（2）招标文件没有不合理条款、招标程序符合规定，需要采用其他采购方式采购的，采购人应当依法报政府采购监督管理部门批准。</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19.保密要求</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19.1评标将在严格保密的情况下进行。</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19.2有关人员应当遵守评标工作纪律，不得泄露评标文件、评标情况和评标中获悉的国家秘密、商业秘密。</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20.中标候选人的确定原则及标准</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20.1评标委员会依据本项目招标文件所约定的评标方法，对实质上响应招标文件的投标人按下列方法进行排序，确定中标候选人：</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21.确定中标候选人和中标人</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21.1评标委员会将根据评标标准，按</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中规定数量推荐中标候选人。</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21.2按</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中规定，由评标委员会或采购人确定中标人。</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21.3因重大变故采购任务取消时，采购人有权拒绝任何投标人中标，且对受影响的投标人不承担任何责任。</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22.编写评标报告</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23.中标结果公告</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23.1除</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23.2自中标人确定之日起2个工作日内，采购代理机构将在</w:t>
      </w:r>
      <w:r>
        <w:rPr>
          <w:rFonts w:hint="eastAsia" w:ascii="宋体" w:hAnsi="宋体" w:eastAsia="宋体" w:cs="宋体"/>
          <w:color w:val="auto"/>
          <w:sz w:val="24"/>
          <w:szCs w:val="24"/>
          <w:highlight w:val="none"/>
          <w:lang w:eastAsia="zh-CN"/>
        </w:rPr>
        <w:t>滁州市机电工程学校</w:t>
      </w:r>
      <w:r>
        <w:rPr>
          <w:rFonts w:hint="eastAsia" w:ascii="宋体" w:hAnsi="宋体" w:eastAsia="宋体" w:cs="宋体"/>
          <w:color w:val="auto"/>
          <w:sz w:val="24"/>
          <w:szCs w:val="24"/>
          <w:highlight w:val="none"/>
        </w:rPr>
        <w:t>上发布中标结果公告。</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23.3中标结果公告内容应当包括采购人及其委托的采购代理机构的名称、地址、联系方式，项目名称，中标人名称、地址和中标金额，主要中标标的的名称、规格型号、数量、单价、服务要求、中标公告期限、评审专家名单以及投标人须知前附表中约定进行公告的内容。中标公告期限为1个工作日。</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24.中标通知书</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ascii="宋体" w:hAnsi="宋体" w:eastAsia="宋体"/>
          <w:color w:val="auto"/>
          <w:sz w:val="24"/>
          <w:highlight w:val="none"/>
        </w:rPr>
        <w:t>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r>
        <w:rPr>
          <w:rFonts w:hint="eastAsia" w:ascii="宋体" w:hAnsi="宋体" w:eastAsia="宋体"/>
          <w:color w:val="auto"/>
          <w:sz w:val="24"/>
          <w:highlight w:val="none"/>
        </w:rPr>
        <w:t>中标通知书须加盖采购人、采购代理机构公章后，方可发出。</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24.2中标通知书对采购人和中标人具有同等法律效力。中标通知书发出以后，采购人改变中标结果或者中标人放弃中标，应当承担相应的法律责任。</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24.3中标通知书是合同的组成部分。</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25.告知招标结果</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25.1在公告中标结果的同时，采购代理机构同时以</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规定的形式告知未通过资格审查的投标人未通过的原因；采用综合评分法评审的，还将告知未中标人本人的评审得分和排序。</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26.履约保证金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本项目不采用）</w:t>
      </w:r>
    </w:p>
    <w:p>
      <w:pPr>
        <w:spacing w:line="500" w:lineRule="exact"/>
        <w:ind w:left="-420" w:leftChars="-200" w:firstLine="436" w:firstLineChars="182"/>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26.1中标人应按照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规定缴纳履约保证金。</w:t>
      </w:r>
    </w:p>
    <w:p>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26.2如果中标人没有按照上述履约保证金的规定执行，将视为放弃中标资格。在此情况下，采购人可确定下一中标候选人为中标人，也可以重新开展采购活动。</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27.签订合同</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27.2招标文件、中标人的投标文件及其澄清文件等，均为签订合同的依据。</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27.3中标人拒绝与采购人签订合同的，采购人可以按照评审报告推荐的中标候选人名单排序，确定下一中标候选人为中标人，也可以重新开展政府采购活动。</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27.4依据《政府采购促进中小企业发展管理办法》（财库〔2020〕46号）规定享受扶持政策获得政府采购合同的，小微企业不得将合同分包给大中型企业，中型企业不得将合同分包给大型企业。</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28.代理费用</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28.1本项目代理费用的收取按</w:t>
      </w:r>
      <w:r>
        <w:rPr>
          <w:rFonts w:hint="eastAsia" w:ascii="宋体" w:hAnsi="宋体" w:eastAsia="宋体" w:cs="宋体"/>
          <w:color w:val="auto"/>
          <w:sz w:val="24"/>
          <w:szCs w:val="24"/>
          <w:highlight w:val="none"/>
          <w:u w:val="single"/>
        </w:rPr>
        <w:t>投标人须知前附表的</w:t>
      </w:r>
      <w:r>
        <w:rPr>
          <w:rFonts w:hint="eastAsia" w:ascii="宋体" w:hAnsi="宋体" w:eastAsia="宋体" w:cs="宋体"/>
          <w:color w:val="auto"/>
          <w:sz w:val="24"/>
          <w:szCs w:val="24"/>
          <w:highlight w:val="none"/>
        </w:rPr>
        <w:t>规定执行。</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bookmarkStart w:id="42" w:name="_Toc518923100"/>
      <w:bookmarkStart w:id="43" w:name="_Toc2583661"/>
      <w:r>
        <w:rPr>
          <w:rFonts w:hint="eastAsia" w:ascii="宋体" w:hAnsi="宋体" w:eastAsia="宋体" w:cs="宋体"/>
          <w:b/>
          <w:color w:val="auto"/>
          <w:sz w:val="24"/>
          <w:szCs w:val="24"/>
          <w:highlight w:val="none"/>
        </w:rPr>
        <w:t>29.廉洁自律规定</w:t>
      </w:r>
      <w:bookmarkEnd w:id="42"/>
      <w:bookmarkEnd w:id="43"/>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29.1采购代理机构工作人员不得以不正当手段获取政府采购代理业务，不得与采购人、供应商恶意串通。</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29.2采购代理机构工作人员不得接受采购人或者供应商组织的宴请、旅游、娱乐，不得收受礼品、现金、有价证券等，不得向采购人或者供应商报销应当由个人承担的费用。</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bookmarkStart w:id="44" w:name="_Toc2583662"/>
      <w:bookmarkStart w:id="45" w:name="_Toc518923101"/>
      <w:r>
        <w:rPr>
          <w:rFonts w:hint="eastAsia" w:ascii="宋体" w:hAnsi="宋体" w:eastAsia="宋体" w:cs="宋体"/>
          <w:b/>
          <w:color w:val="auto"/>
          <w:sz w:val="24"/>
          <w:szCs w:val="24"/>
          <w:highlight w:val="none"/>
        </w:rPr>
        <w:t>30.人员回避</w:t>
      </w:r>
      <w:bookmarkEnd w:id="44"/>
      <w:bookmarkEnd w:id="45"/>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投标人认为采购人员及其相关人员有法律法规所列与其他供应商有利害关系的，可以向采购人或采购代理机构书面提出回避申请，并说明理由。</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31.质疑的提出与接收</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31.3采购代理机构质疑函接收部门、联系电话和通讯地址，见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注：上述条款中所要求的书面形式包含通过交易系统递交方式。</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32.投诉</w:t>
      </w:r>
    </w:p>
    <w:p>
      <w:pPr>
        <w:spacing w:line="500" w:lineRule="exact"/>
        <w:ind w:left="-420" w:leftChars="-200" w:firstLine="436" w:firstLineChars="1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质疑投标人对采购人、采购代理机构的答复不满意，或者采购人、采购代理机构未在规定的时间内答复的，可以在答复期满后十五个工作日内按有关规定，以书面形式向同级政府采购监督管理部门提出投诉或者线上提交投诉材料</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32.3政府采购监督管理部门在处理投诉事项期间，可以视具体情况书面通知采购人暂停采购活动，但暂停时间最长不得超过30日。</w:t>
      </w:r>
    </w:p>
    <w:p>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33.需要补充的其他内容</w:t>
      </w:r>
    </w:p>
    <w:p>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pPr>
        <w:numPr>
          <w:ilvl w:val="0"/>
          <w:numId w:val="2"/>
        </w:num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 </w:t>
      </w:r>
      <w:bookmarkStart w:id="46" w:name="_Toc22605"/>
      <w:r>
        <w:rPr>
          <w:rFonts w:hint="eastAsia" w:asciiTheme="minorEastAsia" w:hAnsiTheme="minorEastAsia" w:eastAsiaTheme="minorEastAsia"/>
          <w:b/>
          <w:color w:val="auto"/>
          <w:sz w:val="28"/>
          <w:highlight w:val="none"/>
        </w:rPr>
        <w:t>采购需求</w:t>
      </w:r>
      <w:bookmarkEnd w:id="46"/>
    </w:p>
    <w:p>
      <w:pPr>
        <w:spacing w:line="500" w:lineRule="exact"/>
        <w:ind w:left="-420" w:leftChars="-200"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前注：</w:t>
      </w:r>
    </w:p>
    <w:p>
      <w:pPr>
        <w:spacing w:line="500" w:lineRule="exact"/>
        <w:ind w:left="-420" w:leftChars="-20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pPr>
        <w:spacing w:line="500" w:lineRule="exact"/>
        <w:ind w:left="-420" w:leftChars="-20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pPr>
        <w:spacing w:line="500" w:lineRule="exact"/>
        <w:ind w:left="-420" w:leftChars="-20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pPr>
        <w:spacing w:line="500" w:lineRule="exact"/>
        <w:ind w:left="-420" w:leftChars="-20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pPr>
        <w:spacing w:line="500" w:lineRule="exact"/>
        <w:ind w:left="-420" w:leftChars="-200" w:firstLine="480" w:firstLineChars="200"/>
        <w:jc w:val="left"/>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pPr>
        <w:spacing w:line="500" w:lineRule="exact"/>
        <w:ind w:firstLine="437"/>
        <w:outlineLvl w:val="1"/>
        <w:rPr>
          <w:rFonts w:ascii="宋体" w:hAnsi="宋体" w:eastAsia="宋体" w:cs="宋体"/>
          <w:b/>
          <w:color w:val="auto"/>
          <w:sz w:val="24"/>
          <w:szCs w:val="24"/>
          <w:highlight w:val="none"/>
        </w:rPr>
      </w:pPr>
      <w:bookmarkStart w:id="47" w:name="_Toc21798"/>
      <w:bookmarkStart w:id="48" w:name="_Toc4148"/>
      <w:bookmarkStart w:id="49" w:name="_Hlk23621890"/>
      <w:r>
        <w:rPr>
          <w:rFonts w:hint="eastAsia" w:ascii="宋体" w:hAnsi="宋体" w:eastAsia="宋体" w:cs="宋体"/>
          <w:b/>
          <w:color w:val="auto"/>
          <w:sz w:val="24"/>
          <w:szCs w:val="24"/>
          <w:highlight w:val="none"/>
        </w:rPr>
        <w:t>一、采购需求前附表</w:t>
      </w:r>
      <w:bookmarkEnd w:id="47"/>
      <w:bookmarkEnd w:id="48"/>
    </w:p>
    <w:tbl>
      <w:tblPr>
        <w:tblStyle w:val="31"/>
        <w:tblW w:w="51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798"/>
        <w:gridCol w:w="6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序号</w:t>
            </w:r>
          </w:p>
        </w:tc>
        <w:tc>
          <w:tcPr>
            <w:tcW w:w="963" w:type="pct"/>
            <w:vAlign w:val="center"/>
          </w:tcPr>
          <w:p>
            <w:pPr>
              <w:pStyle w:val="50"/>
              <w:widowControl w:val="0"/>
              <w:spacing w:before="0" w:beforeAutospacing="0" w:after="0" w:afterAutospacing="0" w:line="500" w:lineRule="exact"/>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条款名称</w:t>
            </w:r>
          </w:p>
        </w:tc>
        <w:tc>
          <w:tcPr>
            <w:tcW w:w="3503" w:type="pct"/>
            <w:vAlign w:val="center"/>
          </w:tcPr>
          <w:p>
            <w:pPr>
              <w:pStyle w:val="50"/>
              <w:widowControl w:val="0"/>
              <w:spacing w:before="0" w:beforeAutospacing="0" w:after="0" w:afterAutospacing="0" w:line="500" w:lineRule="exact"/>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1</w:t>
            </w:r>
          </w:p>
        </w:tc>
        <w:tc>
          <w:tcPr>
            <w:tcW w:w="963"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u w:val="single"/>
              </w:rPr>
              <w:t>付款方式</w:t>
            </w:r>
          </w:p>
        </w:tc>
        <w:tc>
          <w:tcPr>
            <w:tcW w:w="3503" w:type="pct"/>
            <w:vAlign w:val="center"/>
          </w:tcPr>
          <w:p>
            <w:pPr>
              <w:pStyle w:val="50"/>
              <w:widowControl w:val="0"/>
              <w:spacing w:before="0" w:beforeAutospacing="0" w:after="0" w:afterAutospacing="0" w:line="500" w:lineRule="exact"/>
              <w:jc w:val="both"/>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u w:val="single"/>
              </w:rPr>
              <w:t>合同签订生效并具备实施条件后每半年支付一次，每半年服务期结束支付上半年的服务费用。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2</w:t>
            </w:r>
          </w:p>
        </w:tc>
        <w:tc>
          <w:tcPr>
            <w:tcW w:w="963" w:type="pct"/>
            <w:vAlign w:val="center"/>
          </w:tcPr>
          <w:p>
            <w:pPr>
              <w:pStyle w:val="50"/>
              <w:widowControl w:val="0"/>
              <w:spacing w:before="0" w:beforeAutospacing="0" w:after="0" w:afterAutospacing="0" w:line="50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服务地点</w:t>
            </w:r>
          </w:p>
        </w:tc>
        <w:tc>
          <w:tcPr>
            <w:tcW w:w="3503"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滁州市内，</w:t>
            </w:r>
            <w:r>
              <w:rPr>
                <w:rFonts w:hint="eastAsia" w:ascii="宋体" w:hAnsi="宋体" w:eastAsia="宋体" w:cs="宋体"/>
                <w:b w:val="0"/>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w:t>
            </w:r>
          </w:p>
        </w:tc>
        <w:tc>
          <w:tcPr>
            <w:tcW w:w="963" w:type="pct"/>
            <w:vAlign w:val="center"/>
          </w:tcPr>
          <w:p>
            <w:pPr>
              <w:pStyle w:val="50"/>
              <w:widowControl w:val="0"/>
              <w:spacing w:before="0" w:beforeAutospacing="0" w:after="0" w:afterAutospacing="0" w:line="50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服务期限</w:t>
            </w:r>
          </w:p>
        </w:tc>
        <w:tc>
          <w:tcPr>
            <w:tcW w:w="3503" w:type="pct"/>
            <w:vAlign w:val="center"/>
          </w:tcPr>
          <w:p>
            <w:pPr>
              <w:pStyle w:val="50"/>
              <w:widowControl w:val="0"/>
              <w:spacing w:before="0" w:beforeAutospacing="0" w:after="0" w:afterAutospacing="0" w:line="500" w:lineRule="exact"/>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合同签订后服务期为一年。合同到期后，若服务期内履约良好，经合同双方同意，在年度财政预算能保障的前提下，可续签下一年度合同，合同价格不变，合同一年一签，续签不超过</w:t>
            </w:r>
            <w:r>
              <w:rPr>
                <w:rFonts w:hint="eastAsia" w:ascii="宋体" w:hAnsi="宋体" w:eastAsia="宋体" w:cs="宋体"/>
                <w:b w:val="0"/>
                <w:color w:val="auto"/>
                <w:sz w:val="24"/>
                <w:szCs w:val="24"/>
                <w:highlight w:val="none"/>
                <w:u w:val="single"/>
                <w:lang w:val="en-US" w:eastAsia="zh-CN"/>
              </w:rPr>
              <w:t>二</w:t>
            </w:r>
            <w:r>
              <w:rPr>
                <w:rFonts w:hint="eastAsia" w:ascii="宋体" w:hAnsi="宋体" w:eastAsia="宋体" w:cs="宋体"/>
                <w:b w:val="0"/>
                <w:color w:val="auto"/>
                <w:sz w:val="24"/>
                <w:szCs w:val="24"/>
                <w:highlight w:val="none"/>
                <w:u w:val="singl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4</w:t>
            </w:r>
          </w:p>
        </w:tc>
        <w:tc>
          <w:tcPr>
            <w:tcW w:w="963" w:type="pct"/>
            <w:vAlign w:val="center"/>
          </w:tcPr>
          <w:p>
            <w:pPr>
              <w:pStyle w:val="50"/>
              <w:widowControl w:val="0"/>
              <w:spacing w:before="0" w:beforeAutospacing="0" w:after="0" w:afterAutospacing="0" w:line="50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本项目采购标的名称</w:t>
            </w:r>
          </w:p>
        </w:tc>
        <w:tc>
          <w:tcPr>
            <w:tcW w:w="3503" w:type="pct"/>
            <w:vAlign w:val="center"/>
          </w:tcPr>
          <w:p>
            <w:pPr>
              <w:spacing w:line="5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标的名称：</w:t>
            </w:r>
            <w:r>
              <w:rPr>
                <w:rFonts w:hint="eastAsia" w:ascii="宋体" w:hAnsi="宋体" w:eastAsia="宋体" w:cs="宋体"/>
                <w:color w:val="auto"/>
                <w:sz w:val="24"/>
                <w:szCs w:val="24"/>
                <w:highlight w:val="none"/>
                <w:lang w:eastAsia="zh-CN"/>
              </w:rPr>
              <w:t>安徽滁州技师学院新校区校医院服务项目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pPr>
              <w:pStyle w:val="51"/>
              <w:pBdr>
                <w:bottom w:val="none" w:color="auto" w:sz="0" w:space="0"/>
              </w:pBdr>
              <w:tabs>
                <w:tab w:val="clear" w:pos="4153"/>
                <w:tab w:val="clear" w:pos="8306"/>
              </w:tabs>
              <w:adjustRightInd/>
              <w:spacing w:line="500" w:lineRule="exact"/>
              <w:textAlignment w:val="auto"/>
              <w:rPr>
                <w:rFonts w:ascii="宋体" w:hAnsi="宋体" w:eastAsia="宋体" w:cs="宋体"/>
                <w:bCs/>
                <w:color w:val="auto"/>
                <w:kern w:val="2"/>
                <w:szCs w:val="24"/>
                <w:highlight w:val="none"/>
              </w:rPr>
            </w:pPr>
            <w:bookmarkStart w:id="50" w:name="_Hlk16461016"/>
            <w:bookmarkStart w:id="51" w:name="_Toc8753"/>
            <w:bookmarkStart w:id="52" w:name="_Toc16543"/>
            <w:r>
              <w:rPr>
                <w:rFonts w:hint="eastAsia" w:ascii="宋体" w:hAnsi="宋体" w:eastAsia="宋体" w:cs="宋体"/>
                <w:bCs/>
                <w:color w:val="auto"/>
                <w:kern w:val="2"/>
                <w:szCs w:val="24"/>
                <w:highlight w:val="none"/>
              </w:rPr>
              <w:t>5</w:t>
            </w:r>
          </w:p>
        </w:tc>
        <w:tc>
          <w:tcPr>
            <w:tcW w:w="963" w:type="pct"/>
            <w:vAlign w:val="center"/>
          </w:tcPr>
          <w:p>
            <w:pPr>
              <w:pStyle w:val="50"/>
              <w:widowControl w:val="0"/>
              <w:spacing w:before="0" w:beforeAutospacing="0" w:after="0" w:afterAutospacing="0" w:line="500" w:lineRule="exact"/>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合同形式</w:t>
            </w:r>
          </w:p>
        </w:tc>
        <w:tc>
          <w:tcPr>
            <w:tcW w:w="3503" w:type="pct"/>
            <w:vAlign w:val="center"/>
          </w:tcPr>
          <w:p>
            <w:pPr>
              <w:spacing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本项目采用总价合同</w:t>
            </w:r>
          </w:p>
        </w:tc>
      </w:tr>
    </w:tbl>
    <w:p>
      <w:pPr>
        <w:spacing w:line="500" w:lineRule="exact"/>
        <w:ind w:firstLine="482" w:firstLineChars="200"/>
        <w:jc w:val="left"/>
        <w:outlineLvl w:val="1"/>
        <w:rPr>
          <w:rFonts w:eastAsia="宋体"/>
          <w:bCs/>
          <w:color w:val="auto"/>
          <w:sz w:val="24"/>
          <w:szCs w:val="24"/>
          <w:highlight w:val="none"/>
        </w:rPr>
      </w:pPr>
      <w:r>
        <w:rPr>
          <w:rFonts w:hint="eastAsia" w:ascii="宋体" w:hAnsi="宋体" w:eastAsia="宋体"/>
          <w:b/>
          <w:color w:val="auto"/>
          <w:sz w:val="24"/>
          <w:szCs w:val="24"/>
          <w:highlight w:val="none"/>
        </w:rPr>
        <w:t>二、项目</w:t>
      </w:r>
      <w:bookmarkEnd w:id="49"/>
      <w:bookmarkEnd w:id="50"/>
      <w:bookmarkEnd w:id="51"/>
      <w:bookmarkEnd w:id="52"/>
      <w:r>
        <w:rPr>
          <w:rFonts w:hint="eastAsia" w:ascii="宋体" w:hAnsi="宋体" w:eastAsia="宋体"/>
          <w:b/>
          <w:color w:val="auto"/>
          <w:sz w:val="24"/>
          <w:szCs w:val="24"/>
          <w:highlight w:val="none"/>
        </w:rPr>
        <w:t>需求</w:t>
      </w: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滁州市机电工程学校</w:t>
      </w:r>
      <w:r>
        <w:rPr>
          <w:rFonts w:hint="eastAsia" w:ascii="宋体" w:hAnsi="宋体" w:eastAsia="宋体" w:cs="宋体"/>
          <w:color w:val="auto"/>
          <w:sz w:val="24"/>
          <w:szCs w:val="24"/>
          <w:highlight w:val="none"/>
        </w:rPr>
        <w:t>校医院服务项目，合同签订后服务期为一年。合同到期后，若服务期内履约良好，经合同双方同意，在年度财政预算能保障的前提下，可续签下一年度合同，合同价格不变，合同一年一签，续签不超过</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含合同履约期间当届新生的入校体检服务（资金来源：代收代支，根据每次体检项目要求，不高于36元/人/次），服务期间，医务人员确保两医一护，24小时具有职业医师资格证书的医护人员在岗，</w:t>
      </w:r>
      <w:r>
        <w:rPr>
          <w:rFonts w:hint="eastAsia" w:ascii="宋体" w:hAnsi="宋体" w:eastAsia="宋体" w:cs="宋体"/>
          <w:color w:val="auto"/>
          <w:sz w:val="24"/>
          <w:szCs w:val="24"/>
          <w:highlight w:val="none"/>
        </w:rPr>
        <w:t>详见投标人须知前附表。</w:t>
      </w:r>
    </w:p>
    <w:p>
      <w:pPr>
        <w:spacing w:line="500" w:lineRule="exact"/>
        <w:jc w:val="left"/>
        <w:rPr>
          <w:rFonts w:hint="eastAsia" w:ascii="宋体" w:hAnsi="宋体" w:eastAsia="宋体" w:cs="宋体"/>
          <w:color w:val="auto"/>
          <w:sz w:val="24"/>
          <w:szCs w:val="24"/>
          <w:highlight w:val="none"/>
        </w:rPr>
      </w:pP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93" w:name="_GoBack"/>
      <w:bookmarkEnd w:id="93"/>
    </w:p>
    <w:p>
      <w:pPr>
        <w:spacing w:line="360" w:lineRule="auto"/>
        <w:jc w:val="center"/>
        <w:outlineLvl w:val="0"/>
        <w:rPr>
          <w:rFonts w:asciiTheme="minorEastAsia" w:hAnsiTheme="minorEastAsia" w:eastAsiaTheme="minorEastAsia"/>
          <w:b/>
          <w:color w:val="auto"/>
          <w:sz w:val="28"/>
          <w:highlight w:val="none"/>
        </w:rPr>
      </w:pPr>
      <w:bookmarkStart w:id="53" w:name="_Toc30824"/>
      <w:r>
        <w:rPr>
          <w:rFonts w:hint="eastAsia" w:asciiTheme="minorEastAsia" w:hAnsiTheme="minorEastAsia" w:eastAsiaTheme="minorEastAsia"/>
          <w:b/>
          <w:color w:val="auto"/>
          <w:sz w:val="28"/>
          <w:highlight w:val="none"/>
        </w:rPr>
        <w:t>第四章  评标方法和标准（综合评分法）</w:t>
      </w:r>
      <w:bookmarkEnd w:id="53"/>
    </w:p>
    <w:p>
      <w:pPr>
        <w:spacing w:line="500" w:lineRule="exact"/>
        <w:ind w:left="-619" w:leftChars="-295" w:firstLine="439" w:firstLineChars="182"/>
        <w:outlineLvl w:val="1"/>
        <w:rPr>
          <w:rFonts w:ascii="宋体" w:hAnsi="宋体" w:eastAsia="宋体" w:cs="宋体"/>
          <w:b/>
          <w:color w:val="auto"/>
          <w:sz w:val="24"/>
          <w:szCs w:val="24"/>
          <w:highlight w:val="none"/>
        </w:rPr>
      </w:pPr>
      <w:bookmarkStart w:id="54" w:name="_Toc4705"/>
      <w:bookmarkStart w:id="55" w:name="_Toc11823"/>
      <w:r>
        <w:rPr>
          <w:rFonts w:hint="eastAsia" w:ascii="宋体" w:hAnsi="宋体" w:eastAsia="宋体" w:cs="宋体"/>
          <w:b/>
          <w:color w:val="auto"/>
          <w:sz w:val="24"/>
          <w:szCs w:val="24"/>
          <w:highlight w:val="none"/>
        </w:rPr>
        <w:t>一、总则</w:t>
      </w:r>
      <w:bookmarkEnd w:id="54"/>
      <w:bookmarkEnd w:id="55"/>
    </w:p>
    <w:p>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本项目将按照招标文件第二章 投标人须知的相关要求及本章的规定评标。</w:t>
      </w:r>
    </w:p>
    <w:p>
      <w:pPr>
        <w:spacing w:line="500" w:lineRule="exact"/>
        <w:ind w:left="-619" w:leftChars="-295" w:firstLine="439" w:firstLineChars="182"/>
        <w:outlineLvl w:val="1"/>
        <w:rPr>
          <w:rFonts w:ascii="宋体" w:hAnsi="宋体" w:eastAsia="宋体" w:cs="宋体"/>
          <w:b/>
          <w:color w:val="auto"/>
          <w:sz w:val="24"/>
          <w:szCs w:val="24"/>
          <w:highlight w:val="none"/>
        </w:rPr>
      </w:pPr>
      <w:bookmarkStart w:id="56" w:name="_Toc32410"/>
      <w:bookmarkStart w:id="57" w:name="_Toc31871"/>
      <w:r>
        <w:rPr>
          <w:rFonts w:hint="eastAsia" w:ascii="宋体" w:hAnsi="宋体" w:eastAsia="宋体" w:cs="宋体"/>
          <w:b/>
          <w:color w:val="auto"/>
          <w:sz w:val="24"/>
          <w:szCs w:val="24"/>
          <w:highlight w:val="none"/>
        </w:rPr>
        <w:t>二、评标方法</w:t>
      </w:r>
      <w:bookmarkEnd w:id="56"/>
      <w:bookmarkEnd w:id="57"/>
    </w:p>
    <w:p>
      <w:pPr>
        <w:spacing w:line="500" w:lineRule="exact"/>
        <w:ind w:left="-619" w:leftChars="-295" w:firstLine="382" w:firstLineChars="182"/>
        <w:outlineLvl w:val="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2.1资格审查</w:t>
      </w:r>
    </w:p>
    <w:tbl>
      <w:tblPr>
        <w:tblStyle w:val="31"/>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448"/>
        <w:gridCol w:w="4076"/>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91" w:type="dxa"/>
            <w:noWrap w:val="0"/>
            <w:vAlign w:val="center"/>
          </w:tcPr>
          <w:p>
            <w:pPr>
              <w:spacing w:line="500" w:lineRule="exact"/>
              <w:ind w:left="-619" w:leftChars="-295" w:firstLine="436" w:firstLineChars="1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6524" w:type="dxa"/>
            <w:gridSpan w:val="2"/>
            <w:noWrap w:val="0"/>
            <w:vAlign w:val="center"/>
          </w:tcPr>
          <w:p>
            <w:pPr>
              <w:spacing w:line="500" w:lineRule="exact"/>
              <w:ind w:left="-619" w:leftChars="-295" w:firstLine="436" w:firstLineChars="1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评审因素</w:t>
            </w:r>
          </w:p>
        </w:tc>
        <w:tc>
          <w:tcPr>
            <w:tcW w:w="2552" w:type="dxa"/>
            <w:noWrap w:val="0"/>
            <w:vAlign w:val="center"/>
          </w:tcPr>
          <w:p>
            <w:pPr>
              <w:spacing w:line="500" w:lineRule="exact"/>
              <w:ind w:left="-619" w:leftChars="-295" w:firstLine="436" w:firstLineChars="1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91" w:type="dxa"/>
            <w:noWrap w:val="0"/>
            <w:vAlign w:val="center"/>
          </w:tcPr>
          <w:p>
            <w:pPr>
              <w:spacing w:line="500" w:lineRule="exact"/>
              <w:ind w:left="-619" w:leftChars="-295" w:firstLine="436" w:firstLineChars="18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1</w:t>
            </w:r>
          </w:p>
        </w:tc>
        <w:tc>
          <w:tcPr>
            <w:tcW w:w="2448" w:type="dxa"/>
            <w:noWrap w:val="0"/>
            <w:vAlign w:val="center"/>
          </w:tcPr>
          <w:p>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重要要求</w:t>
            </w:r>
          </w:p>
        </w:tc>
        <w:tc>
          <w:tcPr>
            <w:tcW w:w="4076" w:type="dxa"/>
            <w:noWrap w:val="0"/>
            <w:vAlign w:val="center"/>
          </w:tcPr>
          <w:p>
            <w:pPr>
              <w:spacing w:line="500" w:lineRule="exact"/>
              <w:ind w:left="-619" w:leftChars="-295" w:firstLine="436" w:firstLineChars="1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（1）法定代表人身份证明和本人有效身份证(或法定代表人授权委托书和委托代理人有效身份证)</w:t>
            </w:r>
          </w:p>
        </w:tc>
        <w:tc>
          <w:tcPr>
            <w:tcW w:w="2552" w:type="dxa"/>
            <w:noWrap w:val="0"/>
            <w:vAlign w:val="center"/>
          </w:tcPr>
          <w:p>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核验原件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791" w:type="dxa"/>
            <w:vMerge w:val="restart"/>
            <w:noWrap w:val="0"/>
            <w:vAlign w:val="center"/>
          </w:tcPr>
          <w:p>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2448" w:type="dxa"/>
            <w:vMerge w:val="restart"/>
            <w:noWrap w:val="0"/>
            <w:vAlign w:val="center"/>
          </w:tcPr>
          <w:p>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投标人应符合的基本资格条件</w:t>
            </w:r>
          </w:p>
        </w:tc>
        <w:tc>
          <w:tcPr>
            <w:tcW w:w="4076" w:type="dxa"/>
            <w:noWrap w:val="0"/>
            <w:vAlign w:val="center"/>
          </w:tcPr>
          <w:p>
            <w:pPr>
              <w:spacing w:line="500" w:lineRule="exact"/>
              <w:ind w:left="-619" w:leftChars="-295" w:firstLine="436" w:firstLineChars="1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投标人有效的营业执照</w:t>
            </w:r>
          </w:p>
        </w:tc>
        <w:tc>
          <w:tcPr>
            <w:tcW w:w="2552" w:type="dxa"/>
            <w:noWrap w:val="0"/>
            <w:vAlign w:val="center"/>
          </w:tcPr>
          <w:p>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核验复印件加盖公章</w:t>
            </w:r>
          </w:p>
          <w:p>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91" w:type="dxa"/>
            <w:vMerge w:val="continue"/>
            <w:noWrap w:val="0"/>
            <w:vAlign w:val="center"/>
          </w:tcPr>
          <w:p>
            <w:pPr>
              <w:spacing w:line="500" w:lineRule="exact"/>
              <w:ind w:left="-619" w:leftChars="-295" w:firstLine="436" w:firstLineChars="182"/>
              <w:rPr>
                <w:rFonts w:hint="eastAsia" w:ascii="宋体" w:hAnsi="宋体" w:eastAsia="宋体" w:cs="宋体"/>
                <w:b w:val="0"/>
                <w:bCs w:val="0"/>
                <w:color w:val="auto"/>
                <w:sz w:val="24"/>
                <w:szCs w:val="24"/>
                <w:highlight w:val="none"/>
              </w:rPr>
            </w:pPr>
          </w:p>
        </w:tc>
        <w:tc>
          <w:tcPr>
            <w:tcW w:w="2448" w:type="dxa"/>
            <w:vMerge w:val="continue"/>
            <w:noWrap w:val="0"/>
            <w:vAlign w:val="center"/>
          </w:tcPr>
          <w:p>
            <w:pPr>
              <w:spacing w:line="500" w:lineRule="exact"/>
              <w:ind w:left="-619" w:leftChars="-295" w:firstLine="436" w:firstLineChars="182"/>
              <w:rPr>
                <w:rFonts w:hint="eastAsia" w:ascii="宋体" w:hAnsi="宋体" w:eastAsia="宋体" w:cs="宋体"/>
                <w:b w:val="0"/>
                <w:bCs w:val="0"/>
                <w:color w:val="auto"/>
                <w:sz w:val="24"/>
                <w:szCs w:val="24"/>
                <w:highlight w:val="none"/>
              </w:rPr>
            </w:pPr>
          </w:p>
        </w:tc>
        <w:tc>
          <w:tcPr>
            <w:tcW w:w="4076" w:type="dxa"/>
            <w:noWrap w:val="0"/>
            <w:vAlign w:val="center"/>
          </w:tcPr>
          <w:p>
            <w:pPr>
              <w:spacing w:line="500" w:lineRule="exact"/>
              <w:ind w:left="-619" w:leftChars="-295" w:firstLine="436" w:firstLineChars="1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（3）具备有效的《医疗机构执业许可证》</w:t>
            </w:r>
          </w:p>
        </w:tc>
        <w:tc>
          <w:tcPr>
            <w:tcW w:w="2552" w:type="dxa"/>
            <w:noWrap w:val="0"/>
            <w:vAlign w:val="center"/>
          </w:tcPr>
          <w:p>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核验复印件加盖公章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91" w:type="dxa"/>
            <w:vMerge w:val="continue"/>
            <w:noWrap w:val="0"/>
            <w:vAlign w:val="center"/>
          </w:tcPr>
          <w:p>
            <w:pPr>
              <w:spacing w:line="500" w:lineRule="exact"/>
              <w:ind w:left="-619" w:leftChars="-295" w:firstLine="436" w:firstLineChars="182"/>
              <w:rPr>
                <w:rFonts w:hint="eastAsia" w:ascii="宋体" w:hAnsi="宋体" w:eastAsia="宋体" w:cs="宋体"/>
                <w:b w:val="0"/>
                <w:bCs w:val="0"/>
                <w:color w:val="auto"/>
                <w:sz w:val="24"/>
                <w:szCs w:val="24"/>
                <w:highlight w:val="none"/>
              </w:rPr>
            </w:pPr>
          </w:p>
        </w:tc>
        <w:tc>
          <w:tcPr>
            <w:tcW w:w="2448" w:type="dxa"/>
            <w:vMerge w:val="continue"/>
            <w:noWrap w:val="0"/>
            <w:vAlign w:val="center"/>
          </w:tcPr>
          <w:p>
            <w:pPr>
              <w:spacing w:line="500" w:lineRule="exact"/>
              <w:ind w:left="-619" w:leftChars="-295" w:firstLine="436" w:firstLineChars="182"/>
              <w:rPr>
                <w:rFonts w:hint="eastAsia" w:ascii="宋体" w:hAnsi="宋体" w:eastAsia="宋体" w:cs="宋体"/>
                <w:b w:val="0"/>
                <w:bCs w:val="0"/>
                <w:color w:val="auto"/>
                <w:sz w:val="24"/>
                <w:szCs w:val="24"/>
                <w:highlight w:val="none"/>
                <w:lang w:val="zh-CN"/>
              </w:rPr>
            </w:pPr>
          </w:p>
        </w:tc>
        <w:tc>
          <w:tcPr>
            <w:tcW w:w="4076" w:type="dxa"/>
            <w:noWrap w:val="0"/>
            <w:vAlign w:val="center"/>
          </w:tcPr>
          <w:p>
            <w:pPr>
              <w:spacing w:line="500" w:lineRule="exact"/>
              <w:ind w:left="-619" w:leftChars="-295" w:firstLine="436" w:firstLineChars="1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（4）诚信投标承诺书</w:t>
            </w:r>
          </w:p>
        </w:tc>
        <w:tc>
          <w:tcPr>
            <w:tcW w:w="2552" w:type="dxa"/>
            <w:noWrap w:val="0"/>
            <w:vAlign w:val="center"/>
          </w:tcPr>
          <w:p>
            <w:pPr>
              <w:spacing w:line="500" w:lineRule="exact"/>
              <w:ind w:left="-619" w:leftChars="-295" w:firstLine="436" w:firstLineChars="18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核验原件</w:t>
            </w:r>
          </w:p>
        </w:tc>
      </w:tr>
    </w:tbl>
    <w:p>
      <w:pPr>
        <w:spacing w:line="500" w:lineRule="exact"/>
        <w:ind w:left="-619" w:leftChars="-295" w:firstLine="439" w:firstLineChars="18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资格审查指标通过标准：</w:t>
      </w:r>
      <w:r>
        <w:rPr>
          <w:rFonts w:hint="eastAsia" w:ascii="宋体" w:hAnsi="宋体" w:eastAsia="宋体" w:cs="宋体"/>
          <w:color w:val="auto"/>
          <w:sz w:val="24"/>
          <w:szCs w:val="24"/>
          <w:highlight w:val="none"/>
        </w:rPr>
        <w:t>投标人必须通过资格审查表中的全部评审指标。</w:t>
      </w:r>
    </w:p>
    <w:p>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2.2符合性审查</w:t>
      </w:r>
    </w:p>
    <w:p>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评标委员会对通过资格审查的投标人的投标文件进行符合性审查，以确定其是否满足招标文件的实质性要求。符合性审查表如下：</w:t>
      </w:r>
    </w:p>
    <w:tbl>
      <w:tblPr>
        <w:tblStyle w:val="31"/>
        <w:tblW w:w="56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504"/>
        <w:gridCol w:w="4062"/>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5000" w:type="pct"/>
            <w:gridSpan w:val="4"/>
            <w:tcBorders>
              <w:bottom w:val="single" w:color="auto" w:sz="4" w:space="0"/>
            </w:tcBorders>
            <w:vAlign w:val="center"/>
          </w:tcPr>
          <w:p>
            <w:pPr>
              <w:adjustRightInd w:val="0"/>
              <w:snapToGrid w:val="0"/>
              <w:spacing w:line="500" w:lineRule="exact"/>
              <w:ind w:left="-619" w:leftChars="-295" w:right="-10" w:firstLine="439" w:firstLineChars="1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3" w:type="pct"/>
            <w:tcBorders>
              <w:bottom w:val="single" w:color="auto" w:sz="4" w:space="0"/>
            </w:tcBorders>
            <w:vAlign w:val="center"/>
          </w:tcPr>
          <w:p>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33" w:type="pct"/>
            <w:tcBorders>
              <w:bottom w:val="single" w:color="auto" w:sz="4" w:space="0"/>
            </w:tcBorders>
            <w:vAlign w:val="center"/>
          </w:tcPr>
          <w:p>
            <w:pPr>
              <w:pStyle w:val="51"/>
              <w:pBdr>
                <w:bottom w:val="none" w:color="auto" w:sz="0" w:space="0"/>
              </w:pBdr>
              <w:tabs>
                <w:tab w:val="clear" w:pos="4153"/>
                <w:tab w:val="clear" w:pos="8306"/>
              </w:tabs>
              <w:snapToGrid w:val="0"/>
              <w:spacing w:line="500" w:lineRule="exact"/>
              <w:ind w:left="-619" w:leftChars="-295" w:right="-10" w:firstLine="436" w:firstLineChars="182"/>
              <w:textAlignment w:val="auto"/>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审查指标</w:t>
            </w:r>
          </w:p>
        </w:tc>
        <w:tc>
          <w:tcPr>
            <w:tcW w:w="2000" w:type="pct"/>
            <w:tcBorders>
              <w:bottom w:val="single" w:color="auto" w:sz="4" w:space="0"/>
            </w:tcBorders>
            <w:vAlign w:val="center"/>
          </w:tcPr>
          <w:p>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c>
          <w:tcPr>
            <w:tcW w:w="1322" w:type="pct"/>
            <w:tcBorders>
              <w:bottom w:val="single" w:color="auto" w:sz="4" w:space="0"/>
            </w:tcBorders>
            <w:vAlign w:val="center"/>
          </w:tcPr>
          <w:p>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3" w:type="pct"/>
            <w:vAlign w:val="center"/>
          </w:tcPr>
          <w:p>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tc>
        <w:tc>
          <w:tcPr>
            <w:tcW w:w="2000" w:type="pct"/>
            <w:vAlign w:val="center"/>
          </w:tcPr>
          <w:p>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格式、填写要求符合招标文件规定并加盖投标人签章</w:t>
            </w:r>
          </w:p>
        </w:tc>
        <w:tc>
          <w:tcPr>
            <w:tcW w:w="1322" w:type="pct"/>
            <w:vAlign w:val="center"/>
          </w:tcPr>
          <w:p>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3" w:type="pct"/>
            <w:vAlign w:val="center"/>
          </w:tcPr>
          <w:p>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tc>
        <w:tc>
          <w:tcPr>
            <w:tcW w:w="2000" w:type="pct"/>
            <w:vAlign w:val="center"/>
          </w:tcPr>
          <w:p>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格式、填写要求符合招标文件规定并加盖投标人签章</w:t>
            </w:r>
          </w:p>
        </w:tc>
        <w:tc>
          <w:tcPr>
            <w:tcW w:w="1322" w:type="pct"/>
            <w:vAlign w:val="center"/>
          </w:tcPr>
          <w:p>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33" w:type="pct"/>
            <w:vAlign w:val="center"/>
          </w:tcPr>
          <w:p>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授权书</w:t>
            </w:r>
          </w:p>
        </w:tc>
        <w:tc>
          <w:tcPr>
            <w:tcW w:w="2000" w:type="pct"/>
            <w:vAlign w:val="center"/>
          </w:tcPr>
          <w:p>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格式、填写要求符合招标文件规定并加盖投标人签章</w:t>
            </w:r>
          </w:p>
        </w:tc>
        <w:tc>
          <w:tcPr>
            <w:tcW w:w="1322" w:type="pct"/>
            <w:vAlign w:val="center"/>
          </w:tcPr>
          <w:p>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法定代表人参加投标的无需此件，提供身份证明即可。详见第六章投标文件格式。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33" w:type="pct"/>
            <w:vAlign w:val="center"/>
          </w:tcPr>
          <w:p>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2000" w:type="pct"/>
            <w:vAlign w:val="center"/>
          </w:tcPr>
          <w:p>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符合招标文件投标人须知正文第9条要求</w:t>
            </w:r>
          </w:p>
        </w:tc>
        <w:tc>
          <w:tcPr>
            <w:tcW w:w="1322" w:type="pct"/>
            <w:vAlign w:val="center"/>
          </w:tcPr>
          <w:p>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33" w:type="pct"/>
            <w:vAlign w:val="center"/>
          </w:tcPr>
          <w:p>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商务响应情况</w:t>
            </w:r>
          </w:p>
        </w:tc>
        <w:tc>
          <w:tcPr>
            <w:tcW w:w="2000" w:type="pct"/>
            <w:vAlign w:val="center"/>
          </w:tcPr>
          <w:p>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符合招标文件采购需求中对付款方式、服务地点、服务期限等实质性要求</w:t>
            </w:r>
          </w:p>
        </w:tc>
        <w:tc>
          <w:tcPr>
            <w:tcW w:w="1322" w:type="pct"/>
            <w:vAlign w:val="center"/>
          </w:tcPr>
          <w:p>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33" w:type="pct"/>
            <w:vAlign w:val="center"/>
          </w:tcPr>
          <w:p>
            <w:pPr>
              <w:spacing w:line="500" w:lineRule="exact"/>
              <w:ind w:left="-619" w:leftChars="-295" w:firstLine="436" w:firstLineChars="182"/>
              <w:jc w:val="center"/>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技术响应情况</w:t>
            </w:r>
          </w:p>
        </w:tc>
        <w:tc>
          <w:tcPr>
            <w:tcW w:w="2000" w:type="pct"/>
            <w:vAlign w:val="center"/>
          </w:tcPr>
          <w:p>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符合招标文件采购需求中货物技术参数等实质性要求;具</w:t>
            </w:r>
            <w:r>
              <w:rPr>
                <w:rFonts w:hint="eastAsia" w:ascii="宋体" w:hAnsi="宋体" w:eastAsia="宋体"/>
                <w:color w:val="auto"/>
                <w:sz w:val="24"/>
                <w:szCs w:val="28"/>
                <w:highlight w:val="none"/>
              </w:rPr>
              <w:t>体详见评分办法</w:t>
            </w:r>
          </w:p>
        </w:tc>
        <w:tc>
          <w:tcPr>
            <w:tcW w:w="1322" w:type="pct"/>
            <w:vAlign w:val="center"/>
          </w:tcPr>
          <w:p>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adjustRightInd w:val="0"/>
              <w:snapToGrid w:val="0"/>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33" w:type="pct"/>
            <w:vAlign w:val="center"/>
          </w:tcPr>
          <w:p>
            <w:pPr>
              <w:spacing w:line="500" w:lineRule="exact"/>
              <w:ind w:left="-619" w:leftChars="-295" w:right="-10" w:firstLine="436" w:firstLineChars="1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2000" w:type="pct"/>
            <w:vAlign w:val="center"/>
          </w:tcPr>
          <w:p>
            <w:pPr>
              <w:spacing w:line="50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符合法律、行政法规规定的其他条件或招标文件列明的其他实质性要求</w:t>
            </w:r>
          </w:p>
        </w:tc>
        <w:tc>
          <w:tcPr>
            <w:tcW w:w="1322" w:type="pct"/>
            <w:vAlign w:val="center"/>
          </w:tcPr>
          <w:p>
            <w:pPr>
              <w:adjustRightInd w:val="0"/>
              <w:snapToGrid w:val="0"/>
              <w:spacing w:line="500" w:lineRule="exact"/>
              <w:ind w:left="-19" w:leftChars="-9" w:right="-10" w:firstLine="19" w:firstLineChars="8"/>
              <w:jc w:val="left"/>
              <w:rPr>
                <w:rFonts w:ascii="宋体" w:hAnsi="宋体" w:eastAsia="宋体" w:cs="宋体"/>
                <w:color w:val="auto"/>
                <w:sz w:val="24"/>
                <w:szCs w:val="24"/>
                <w:highlight w:val="none"/>
              </w:rPr>
            </w:pPr>
          </w:p>
        </w:tc>
      </w:tr>
    </w:tbl>
    <w:p>
      <w:pPr>
        <w:spacing w:line="500" w:lineRule="exact"/>
        <w:ind w:left="-619" w:leftChars="-295" w:firstLine="439" w:firstLineChars="18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符合性审查指标通过标准：</w:t>
      </w:r>
      <w:r>
        <w:rPr>
          <w:rFonts w:hint="eastAsia" w:ascii="宋体" w:hAnsi="宋体" w:eastAsia="宋体" w:cs="宋体"/>
          <w:color w:val="auto"/>
          <w:sz w:val="24"/>
          <w:szCs w:val="24"/>
          <w:highlight w:val="none"/>
        </w:rPr>
        <w:t>投标人必须通过符合性审查表中的全部评审指标。</w:t>
      </w:r>
    </w:p>
    <w:p>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2.3详细审查</w:t>
      </w:r>
    </w:p>
    <w:p>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2.3.1评标委员会按照下表对投标文件进行详细审查和评分。</w:t>
      </w:r>
    </w:p>
    <w:p>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2.3.2本项目综合评分满分为100分，其中：</w:t>
      </w:r>
      <w:r>
        <w:rPr>
          <w:rFonts w:hint="eastAsia" w:ascii="宋体" w:hAnsi="宋体" w:eastAsia="宋体" w:cs="宋体"/>
          <w:color w:val="auto"/>
          <w:sz w:val="24"/>
          <w:highlight w:val="none"/>
        </w:rPr>
        <w:t>资信分值占总分值的权重为</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技术分值占总分值的权重为</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%。具体评分细则如下：</w:t>
      </w:r>
    </w:p>
    <w:tbl>
      <w:tblPr>
        <w:tblStyle w:val="31"/>
        <w:tblW w:w="55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33"/>
        <w:gridCol w:w="648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3"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613"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评分内容</w:t>
            </w:r>
          </w:p>
        </w:tc>
        <w:tc>
          <w:tcPr>
            <w:tcW w:w="3227"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c>
          <w:tcPr>
            <w:tcW w:w="455"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资信分</w:t>
            </w:r>
          </w:p>
          <w:p>
            <w:pPr>
              <w:spacing w:line="500" w:lineRule="exact"/>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分）</w:t>
            </w:r>
          </w:p>
        </w:tc>
        <w:tc>
          <w:tcPr>
            <w:tcW w:w="613"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bCs/>
                <w:color w:val="auto"/>
                <w:szCs w:val="21"/>
                <w:highlight w:val="none"/>
              </w:rPr>
            </w:pPr>
            <w:r>
              <w:rPr>
                <w:rFonts w:hint="eastAsia" w:ascii="宋体" w:hAnsi="宋体" w:eastAsia="宋体" w:cs="宋体"/>
                <w:color w:val="auto"/>
                <w:szCs w:val="21"/>
                <w:highlight w:val="none"/>
                <w:lang w:val="zh-CN"/>
              </w:rPr>
              <w:t>业绩</w:t>
            </w:r>
          </w:p>
        </w:tc>
        <w:tc>
          <w:tcPr>
            <w:tcW w:w="3227" w:type="pct"/>
            <w:tcBorders>
              <w:top w:val="single" w:color="auto" w:sz="4" w:space="0"/>
              <w:left w:val="single" w:color="auto" w:sz="4" w:space="0"/>
              <w:bottom w:val="single" w:color="auto" w:sz="4" w:space="0"/>
              <w:right w:val="single" w:color="auto" w:sz="4" w:space="0"/>
            </w:tcBorders>
            <w:vAlign w:val="center"/>
          </w:tcPr>
          <w:p>
            <w:pPr>
              <w:pStyle w:val="86"/>
              <w:spacing w:line="360" w:lineRule="auto"/>
              <w:rPr>
                <w:rFonts w:ascii="Times New Roman"/>
                <w:color w:val="auto"/>
                <w:kern w:val="2"/>
                <w:sz w:val="21"/>
                <w:szCs w:val="20"/>
              </w:rPr>
            </w:pPr>
            <w:r>
              <w:rPr>
                <w:rFonts w:hint="eastAsia" w:ascii="Times New Roman"/>
                <w:color w:val="auto"/>
                <w:kern w:val="2"/>
                <w:sz w:val="21"/>
                <w:szCs w:val="20"/>
              </w:rPr>
              <w:t>从事校医院工作</w:t>
            </w:r>
            <w:r>
              <w:rPr>
                <w:rFonts w:hint="eastAsia" w:ascii="Times New Roman"/>
                <w:color w:val="auto"/>
                <w:kern w:val="2"/>
                <w:sz w:val="21"/>
                <w:szCs w:val="20"/>
                <w:lang w:val="en-US" w:eastAsia="zh-CN"/>
              </w:rPr>
              <w:t>二</w:t>
            </w:r>
            <w:r>
              <w:rPr>
                <w:rFonts w:hint="eastAsia" w:ascii="Times New Roman"/>
                <w:color w:val="auto"/>
                <w:kern w:val="2"/>
                <w:sz w:val="21"/>
                <w:szCs w:val="20"/>
              </w:rPr>
              <w:t>年经验的医疗机构得5分，不足</w:t>
            </w:r>
            <w:r>
              <w:rPr>
                <w:rFonts w:hint="eastAsia" w:ascii="Times New Roman"/>
                <w:color w:val="auto"/>
                <w:kern w:val="2"/>
                <w:sz w:val="21"/>
                <w:szCs w:val="20"/>
                <w:lang w:val="en-US" w:eastAsia="zh-CN"/>
              </w:rPr>
              <w:t>二</w:t>
            </w:r>
            <w:r>
              <w:rPr>
                <w:rFonts w:hint="eastAsia" w:ascii="Times New Roman"/>
                <w:color w:val="auto"/>
                <w:kern w:val="2"/>
                <w:sz w:val="21"/>
                <w:szCs w:val="20"/>
              </w:rPr>
              <w:t>年的不得分。</w:t>
            </w:r>
          </w:p>
          <w:p>
            <w:pPr>
              <w:spacing w:line="500" w:lineRule="exact"/>
              <w:jc w:val="left"/>
              <w:rPr>
                <w:rFonts w:ascii="宋体" w:hAnsi="宋体" w:eastAsia="宋体" w:cs="宋体"/>
                <w:bCs/>
                <w:color w:val="auto"/>
                <w:szCs w:val="21"/>
                <w:highlight w:val="none"/>
              </w:rPr>
            </w:pPr>
            <w:r>
              <w:rPr>
                <w:rFonts w:hint="eastAsia"/>
                <w:szCs w:val="20"/>
              </w:rPr>
              <w:t>注</w:t>
            </w:r>
            <w:r>
              <w:rPr>
                <w:rFonts w:hint="eastAsia"/>
                <w:szCs w:val="20"/>
                <w:lang w:eastAsia="zh-CN"/>
              </w:rPr>
              <w:t>：</w:t>
            </w:r>
            <w:r>
              <w:rPr>
                <w:rFonts w:hint="eastAsia"/>
                <w:b/>
                <w:bCs/>
                <w:color w:val="auto"/>
                <w:szCs w:val="21"/>
              </w:rPr>
              <w:t>评审业绩证明材料投标人须提供合同原件复印件加盖投标人的公章，否则所对应项不得分</w:t>
            </w:r>
            <w:r>
              <w:rPr>
                <w:rFonts w:hint="eastAsia"/>
                <w:b/>
                <w:bCs/>
                <w:color w:val="auto"/>
                <w:szCs w:val="21"/>
                <w:lang w:eastAsia="zh-CN"/>
              </w:rPr>
              <w:t>。</w:t>
            </w:r>
          </w:p>
        </w:tc>
        <w:tc>
          <w:tcPr>
            <w:tcW w:w="455"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left w:val="single" w:color="auto" w:sz="4" w:space="0"/>
              <w:right w:val="single" w:color="auto" w:sz="4" w:space="0"/>
            </w:tcBorders>
            <w:vAlign w:val="center"/>
          </w:tcPr>
          <w:p>
            <w:pPr>
              <w:spacing w:line="500" w:lineRule="exact"/>
              <w:jc w:val="center"/>
              <w:rPr>
                <w:rFonts w:hint="eastAsia" w:ascii="宋体" w:hAnsi="宋体" w:eastAsia="宋体" w:cs="宋体"/>
                <w:color w:val="auto"/>
                <w:szCs w:val="21"/>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Times New Roman" w:hAnsi="Times New Roman" w:eastAsia="宋体" w:cs="Times New Roman"/>
                <w:color w:val="auto"/>
                <w:kern w:val="2"/>
                <w:sz w:val="21"/>
                <w:szCs w:val="20"/>
                <w:lang w:val="zh-CN" w:eastAsia="zh-CN" w:bidi="ar-SA"/>
              </w:rPr>
            </w:pPr>
            <w:r>
              <w:rPr>
                <w:rFonts w:hint="eastAsia" w:ascii="Times New Roman" w:hAnsi="Times New Roman" w:eastAsia="宋体" w:cs="Times New Roman"/>
                <w:color w:val="auto"/>
                <w:kern w:val="2"/>
                <w:sz w:val="21"/>
                <w:szCs w:val="20"/>
                <w:lang w:val="en-US" w:eastAsia="zh-CN" w:bidi="ar-SA"/>
              </w:rPr>
              <w:t>社区卫生服务</w:t>
            </w:r>
          </w:p>
        </w:tc>
        <w:tc>
          <w:tcPr>
            <w:tcW w:w="3227" w:type="pct"/>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1.能够承担社区卫生服务的医疗机构资质及至少两医一护有职业医师资质证书及护士医务人员资质相关材料），得5分；</w:t>
            </w:r>
          </w:p>
          <w:p>
            <w:pPr>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2.有从事学校医务室经历并有建立学生健康档案管理经验的，得10分；（每提供1个合同，得5分；最高得10分）；</w:t>
            </w:r>
          </w:p>
          <w:p>
            <w:pPr>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3.能够组织承担建立好新生入学体检并建好档案的；（注：学生体检费按教育部门指导价执行，另行招标。）得10分。（每提供1分合同及对应不同年份的部分新生入学体检表档案原件样本的得5分，最高得10分。）</w:t>
            </w:r>
          </w:p>
          <w:p>
            <w:pPr>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注：上述所提供合同及体检表档案、为近二年学校服务合同及对应年限部分学生入学体检档案。</w:t>
            </w:r>
          </w:p>
        </w:tc>
        <w:tc>
          <w:tcPr>
            <w:tcW w:w="455"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restart"/>
            <w:tcBorders>
              <w:left w:val="single" w:color="auto" w:sz="4" w:space="0"/>
              <w:right w:val="single" w:color="auto" w:sz="4" w:space="0"/>
            </w:tcBorders>
            <w:vAlign w:val="center"/>
          </w:tcPr>
          <w:p>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技术分</w:t>
            </w:r>
          </w:p>
          <w:p>
            <w:pPr>
              <w:spacing w:line="500" w:lineRule="exact"/>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0分）</w:t>
            </w:r>
          </w:p>
        </w:tc>
        <w:tc>
          <w:tcPr>
            <w:tcW w:w="613" w:type="pct"/>
            <w:tcBorders>
              <w:top w:val="single" w:color="auto" w:sz="4" w:space="0"/>
              <w:left w:val="single" w:color="auto" w:sz="4" w:space="0"/>
              <w:bottom w:val="single" w:color="auto" w:sz="4" w:space="0"/>
              <w:right w:val="single" w:color="auto" w:sz="4" w:space="0"/>
            </w:tcBorders>
            <w:vAlign w:val="center"/>
          </w:tcPr>
          <w:p>
            <w:pPr>
              <w:spacing w:line="5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服务方案</w:t>
            </w:r>
          </w:p>
        </w:tc>
        <w:tc>
          <w:tcPr>
            <w:tcW w:w="3227" w:type="pct"/>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方案包括服务人员（提供至少两医一护有全科医师资质及护士医务人员资质对应的24小时值班方案）、值班制度、服务内容、常见药品与社区医疗机构同价的价目表、承诺中标后能无偿保障学校组织的军训、技能大赛、体育赛事、应急演练等集体活动的医疗保障等，评标委员会对比各投标人的服务方案内容，进行综合评价：</w:t>
            </w:r>
          </w:p>
          <w:p>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内容具体详细、目标明确的得30 分；内容较具体详细、目标较清晰的得</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 xml:space="preserve"> 分；内容简单、目标不明确的得</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分；没有不得分。</w:t>
            </w:r>
          </w:p>
        </w:tc>
        <w:tc>
          <w:tcPr>
            <w:tcW w:w="455"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0-</w:t>
            </w:r>
            <w:r>
              <w:rPr>
                <w:rFonts w:hint="eastAsia" w:ascii="宋体" w:hAnsi="宋体" w:eastAsia="宋体" w:cs="宋体"/>
                <w:b/>
                <w:bCs/>
                <w:color w:val="auto"/>
                <w:szCs w:val="21"/>
                <w:highlight w:val="none"/>
                <w:lang w:val="en-US" w:eastAsia="zh-CN"/>
              </w:rPr>
              <w:t>30</w:t>
            </w:r>
            <w:r>
              <w:rPr>
                <w:rFonts w:hint="eastAsia" w:ascii="宋体" w:hAnsi="宋体" w:eastAsia="宋体" w:cs="宋体"/>
                <w:b/>
                <w:bCs/>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pct"/>
            <w:vMerge w:val="continue"/>
            <w:tcBorders>
              <w:left w:val="single" w:color="auto" w:sz="4" w:space="0"/>
              <w:right w:val="single" w:color="auto" w:sz="4" w:space="0"/>
            </w:tcBorders>
            <w:vAlign w:val="center"/>
          </w:tcPr>
          <w:p>
            <w:pPr>
              <w:spacing w:line="500" w:lineRule="exact"/>
              <w:ind w:firstLine="435"/>
              <w:jc w:val="center"/>
              <w:rPr>
                <w:rFonts w:ascii="宋体" w:hAnsi="宋体" w:eastAsia="宋体" w:cs="宋体"/>
                <w:b/>
                <w:bCs/>
                <w:color w:val="auto"/>
                <w:szCs w:val="21"/>
                <w:highlight w:val="none"/>
              </w:rPr>
            </w:pPr>
          </w:p>
        </w:tc>
        <w:tc>
          <w:tcPr>
            <w:tcW w:w="613" w:type="pct"/>
            <w:tcBorders>
              <w:top w:val="single" w:color="auto" w:sz="4" w:space="0"/>
              <w:left w:val="single" w:color="auto" w:sz="4" w:space="0"/>
              <w:right w:val="single" w:color="auto" w:sz="4" w:space="0"/>
            </w:tcBorders>
            <w:vAlign w:val="center"/>
          </w:tcPr>
          <w:p>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健康档案管理服务方案</w:t>
            </w:r>
          </w:p>
        </w:tc>
        <w:tc>
          <w:tcPr>
            <w:tcW w:w="3227" w:type="pct"/>
            <w:tcBorders>
              <w:top w:val="single" w:color="auto" w:sz="4" w:space="0"/>
              <w:left w:val="single" w:color="auto" w:sz="4" w:space="0"/>
              <w:right w:val="single" w:color="auto" w:sz="4" w:space="0"/>
            </w:tcBorders>
            <w:vAlign w:val="center"/>
          </w:tcPr>
          <w:p>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根据重大疾病隐患提醒、复查服务、健康档案管理与交送、药品零差价（常见药品零差价表）、服务费承诺表（如：吊水单价，换药单价等）等配套服务情况对比各投标人综合评价：</w:t>
            </w:r>
          </w:p>
          <w:p>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方案依据全面，针对性强的得30 分，方案依据较全面，针对性有待完善的得</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分，方案依据不全面，针对性较差的得</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分；没有不得分</w:t>
            </w:r>
          </w:p>
        </w:tc>
        <w:tc>
          <w:tcPr>
            <w:tcW w:w="455"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0-30分       </w:t>
            </w:r>
          </w:p>
          <w:p>
            <w:pPr>
              <w:spacing w:line="500" w:lineRule="exact"/>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tcBorders>
              <w:left w:val="single" w:color="auto" w:sz="4" w:space="0"/>
              <w:right w:val="single" w:color="auto" w:sz="4" w:space="0"/>
            </w:tcBorders>
            <w:vAlign w:val="center"/>
          </w:tcPr>
          <w:p>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价格分</w:t>
            </w:r>
          </w:p>
          <w:p>
            <w:pPr>
              <w:spacing w:line="500" w:lineRule="exact"/>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1</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分）</w:t>
            </w:r>
          </w:p>
        </w:tc>
        <w:tc>
          <w:tcPr>
            <w:tcW w:w="4296" w:type="pct"/>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分。其他投标人的价格分统一按照下列公式计算：</w:t>
            </w:r>
          </w:p>
          <w:p>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投标报价得分＝（评标基准价/投标报价）×</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％×100</w:t>
            </w:r>
          </w:p>
          <w:p>
            <w:pPr>
              <w:spacing w:line="50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注:上述价格如有扣除，均为扣除后价格。</w:t>
            </w:r>
          </w:p>
        </w:tc>
      </w:tr>
    </w:tbl>
    <w:p>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.3.3</w:t>
      </w:r>
      <w:r>
        <w:rPr>
          <w:rFonts w:hint="eastAsia" w:asciiTheme="minorEastAsia" w:hAnsiTheme="minorEastAsia" w:eastAsiaTheme="minorEastAsia"/>
          <w:color w:val="auto"/>
          <w:sz w:val="24"/>
          <w:szCs w:val="24"/>
          <w:highlight w:val="none"/>
        </w:rPr>
        <w:t>分值汇总</w:t>
      </w:r>
    </w:p>
    <w:p>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评标委员会各成员应当独立对每个</w:t>
      </w:r>
      <w:r>
        <w:rPr>
          <w:rFonts w:hint="eastAsia" w:asciiTheme="minorEastAsia" w:hAnsiTheme="minorEastAsia" w:eastAsiaTheme="minorEastAsia"/>
          <w:color w:val="auto"/>
          <w:sz w:val="24"/>
          <w:szCs w:val="24"/>
          <w:highlight w:val="none"/>
        </w:rPr>
        <w:t>有效</w:t>
      </w:r>
      <w:r>
        <w:rPr>
          <w:rFonts w:asciiTheme="minorEastAsia" w:hAnsiTheme="minorEastAsia" w:eastAsiaTheme="minorEastAsia"/>
          <w:color w:val="auto"/>
          <w:sz w:val="24"/>
          <w:szCs w:val="24"/>
          <w:highlight w:val="none"/>
        </w:rPr>
        <w:t>投标人的投标文件进行评</w:t>
      </w:r>
      <w:r>
        <w:rPr>
          <w:rFonts w:hint="eastAsia" w:asciiTheme="minorEastAsia" w:hAnsiTheme="minorEastAsia" w:eastAsiaTheme="minorEastAsia"/>
          <w:color w:val="auto"/>
          <w:sz w:val="24"/>
          <w:szCs w:val="24"/>
          <w:highlight w:val="none"/>
        </w:rPr>
        <w:t>分</w:t>
      </w:r>
      <w:r>
        <w:rPr>
          <w:rFonts w:asciiTheme="minorEastAsia" w:hAnsiTheme="minorEastAsia" w:eastAsiaTheme="minorEastAsia"/>
          <w:color w:val="auto"/>
          <w:sz w:val="24"/>
          <w:szCs w:val="24"/>
          <w:highlight w:val="none"/>
        </w:rPr>
        <w:t>，并汇总每个投</w:t>
      </w:r>
      <w:r>
        <w:rPr>
          <w:rFonts w:hint="eastAsia" w:asciiTheme="minorEastAsia" w:hAnsiTheme="minorEastAsia" w:eastAsiaTheme="minorEastAsia"/>
          <w:color w:val="auto"/>
          <w:sz w:val="24"/>
          <w:szCs w:val="24"/>
          <w:highlight w:val="none"/>
        </w:rPr>
        <w:t>标人的得分。取各位评委评分之平均值，四舍五入保留至小数点后两位数，</w:t>
      </w:r>
      <w:r>
        <w:rPr>
          <w:rFonts w:asciiTheme="minorEastAsia" w:hAnsiTheme="minorEastAsia" w:eastAsiaTheme="minorEastAsia"/>
          <w:color w:val="auto"/>
          <w:sz w:val="24"/>
          <w:szCs w:val="24"/>
          <w:highlight w:val="none"/>
        </w:rPr>
        <w:t>得到该投标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的技术资信分</w:t>
      </w:r>
      <w:r>
        <w:rPr>
          <w:rFonts w:hint="eastAsia" w:asciiTheme="minorEastAsia" w:hAnsiTheme="minorEastAsia" w:eastAsiaTheme="minorEastAsia"/>
          <w:color w:val="auto"/>
          <w:sz w:val="24"/>
          <w:szCs w:val="24"/>
          <w:highlight w:val="none"/>
        </w:rPr>
        <w:t>。</w:t>
      </w:r>
    </w:p>
    <w:p>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将投标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的技术资信分加上根据上述标准计算出的价格分，即为该投标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的综合总得分。</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三、无效投标条款</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3.1投标文件有下列情形之一的,其投标文件拒收:</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未在开标截止时间前递交有效投标文件的，不予接收，投标将被拒绝。</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3.2投标人有下列情形之一的,资格审查后其投标作无效投标处理：</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(1)投标人为本项目提供招标代理服务的；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(2)投标人与在本项目代理机构存在相互任职或工作的；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(3)招标公告写明专门面向中小企业采购，投标人提供的货物非中小企业制造的；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(4)要求供应商以联合体形式参加采购活动，投标人非联合体或者联合协议中中小企业合同金额未达到应当达到的比例；</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(5)要求获得采购合同的供应商向中小企业分包，投标人未提供分包意向协议或者分包意向协议中中小企业合同金额未达到应当达到的比例；</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(6)评标专家无法查看并检验投标文件中相关资料的；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(7)联合体投标未提交联合体协议的；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(8)责令停产停业的；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(9)暂停或者取消参与政府采购项目资格的；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(10)投标人单位负责人为同一人或者存在（直接）控股、管理关系的不同单位的；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(11)投标人基本资格条件和特定资格条件中有一项及以上不符合要求的；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)其它情形，经评标委员会委提出按无效投标处理，并经监督部门核准的；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)投标人单方面出现其他投标人材料的；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)招标公告未写明允许采购进口产品，投标人所投产品为进口产品的；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)招标文件规定的其它无效投标情形。</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3.3 投标人有下列情形之一的,符合性审查后其投标按无效投标处理：</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(1)投标文件签字、盖章不全，经评标委员会一致认定对开评标内容有实质性影响监督部门核准的；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(2)未按规定的格式填写导致实质性内容不全以及实质上不响应，或者关键字迹模糊、无法辨认; 经监督部门核准的；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(3)同一投标人提交两个以上不同的投标文件或者投标报价，但招标文件规定提交备选方案的除外；</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(4)投标文件没有对招标文件的实质性要求和条件作出响应;</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(5)投标报价超出规定的投标限价或公布的采购预算的或投标人的投标报价各项单价高于招标文件给定的单价最高限价；</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(6)不按评标委员会要求澄清、说明或补正的，或者评标委员会根据招标文件的规定对投标文件的计算错误进行修正后，投标人不接受修正的投标报价的。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(7)其它情形，经评标委员会委提出按无效投标处理，并经监督部门核准的；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(8)投标文件含有采购人不能接受的附加条件的；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(9)招标文件规定的其它无效投标情形。</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3.4 投标人有下列情形之一的, 详细评审后其投标按无效投标处理：</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(1)投标产品不符合必须强制执行的国家标准的；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(2)投标人有串通投标、弄虚作假、行贿等违法行为；</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(3)投标文件含有违反国家法律、法规的内容，或附有采购人不能接受的条件的；</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(4)报价明显低于其他投标人，且不能证明报价合理性的投标无效；</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(5)拒不确认评标委员会评审修正的投标无效；</w:t>
      </w:r>
    </w:p>
    <w:p>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(6)其它情形，经评标委员会委提出按无效投标处理，并经监督部门核准的；</w:t>
      </w:r>
    </w:p>
    <w:p>
      <w:pPr>
        <w:spacing w:line="500" w:lineRule="exact"/>
        <w:ind w:firstLine="437"/>
        <w:jc w:val="left"/>
        <w:rPr>
          <w:rFonts w:asciiTheme="minorEastAsia" w:hAnsiTheme="minorEastAsia" w:eastAsiaTheme="minorEastAsia"/>
          <w:color w:val="auto"/>
          <w:sz w:val="24"/>
          <w:szCs w:val="24"/>
          <w:highlight w:val="none"/>
        </w:rPr>
      </w:pPr>
      <w:r>
        <w:rPr>
          <w:rFonts w:hint="eastAsia" w:ascii="宋体" w:hAnsi="宋体" w:eastAsia="宋体"/>
          <w:color w:val="auto"/>
          <w:sz w:val="24"/>
          <w:highlight w:val="none"/>
        </w:rPr>
        <w:t>(7)招标文件规定的其它无效投标情形。</w:t>
      </w:r>
    </w:p>
    <w:p>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(6)其它情形，经评标委员会委提出按无效投标处理，并经监督部门核准的；</w:t>
      </w:r>
    </w:p>
    <w:p>
      <w:pPr>
        <w:spacing w:line="500" w:lineRule="exact"/>
        <w:ind w:firstLine="43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rPr>
        <w:t>(7)招标文件规定的其它无效投标情形。</w:t>
      </w:r>
      <w:r>
        <w:rPr>
          <w:rFonts w:asciiTheme="minorEastAsia" w:hAnsiTheme="minorEastAsia" w:eastAsiaTheme="minorEastAsia"/>
          <w:color w:val="auto"/>
          <w:sz w:val="24"/>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58"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8"/>
    </w:p>
    <w:p>
      <w:pPr>
        <w:spacing w:line="480" w:lineRule="auto"/>
        <w:jc w:val="center"/>
        <w:rPr>
          <w:rFonts w:cs="Times New Roman" w:asciiTheme="minorEastAsia" w:hAnsiTheme="minorEastAsia" w:eastAsiaTheme="minorEastAsia"/>
          <w:b/>
          <w:color w:val="auto"/>
          <w:sz w:val="28"/>
          <w:szCs w:val="28"/>
          <w:highlight w:val="none"/>
        </w:rPr>
      </w:pPr>
      <w:bookmarkStart w:id="59" w:name="_Toc331685784"/>
    </w:p>
    <w:p>
      <w:pPr>
        <w:spacing w:line="480" w:lineRule="auto"/>
        <w:jc w:val="center"/>
        <w:rPr>
          <w:rFonts w:cs="Times New Roman" w:asciiTheme="minorEastAsia" w:hAnsiTheme="minorEastAsia" w:eastAsiaTheme="minorEastAsia"/>
          <w:b/>
          <w:color w:val="auto"/>
          <w:sz w:val="28"/>
          <w:szCs w:val="28"/>
          <w:highlight w:val="none"/>
        </w:rPr>
      </w:pPr>
    </w:p>
    <w:p>
      <w:pPr>
        <w:pStyle w:val="12"/>
        <w:rPr>
          <w:color w:val="auto"/>
          <w:highlight w:val="none"/>
        </w:rPr>
      </w:pPr>
    </w:p>
    <w:p>
      <w:pPr>
        <w:spacing w:line="480" w:lineRule="auto"/>
        <w:jc w:val="center"/>
        <w:outlineLvl w:val="1"/>
        <w:rPr>
          <w:rFonts w:cs="Times New Roman" w:asciiTheme="minorEastAsia" w:hAnsiTheme="minorEastAsia" w:eastAsiaTheme="minorEastAsia"/>
          <w:b/>
          <w:color w:val="auto"/>
          <w:sz w:val="28"/>
          <w:szCs w:val="28"/>
          <w:highlight w:val="none"/>
        </w:rPr>
      </w:pPr>
      <w:bookmarkStart w:id="60" w:name="_Toc3714"/>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60"/>
    </w:p>
    <w:p>
      <w:pPr>
        <w:spacing w:line="480" w:lineRule="auto"/>
        <w:jc w:val="center"/>
        <w:outlineLvl w:val="1"/>
        <w:rPr>
          <w:rFonts w:cs="Times New Roman" w:asciiTheme="minorEastAsia" w:hAnsiTheme="minorEastAsia" w:eastAsiaTheme="minorEastAsia"/>
          <w:b/>
          <w:color w:val="auto"/>
          <w:sz w:val="28"/>
          <w:szCs w:val="28"/>
          <w:highlight w:val="none"/>
        </w:rPr>
      </w:pPr>
      <w:bookmarkStart w:id="61" w:name="_Toc8560"/>
      <w:r>
        <w:rPr>
          <w:rFonts w:hint="eastAsia" w:cs="Times New Roman" w:asciiTheme="minorEastAsia" w:hAnsiTheme="minorEastAsia" w:eastAsiaTheme="minorEastAsia"/>
          <w:b/>
          <w:color w:val="auto"/>
          <w:sz w:val="28"/>
          <w:szCs w:val="28"/>
          <w:highlight w:val="none"/>
        </w:rPr>
        <w:t>（服务类）</w:t>
      </w:r>
      <w:bookmarkEnd w:id="61"/>
    </w:p>
    <w:p>
      <w:pPr>
        <w:spacing w:line="480" w:lineRule="auto"/>
        <w:jc w:val="center"/>
        <w:rPr>
          <w:rFonts w:cs="Times New Roman" w:asciiTheme="minorEastAsia" w:hAnsiTheme="minorEastAsia" w:eastAsiaTheme="minorEastAsia"/>
          <w:b/>
          <w:color w:val="auto"/>
          <w:sz w:val="24"/>
          <w:szCs w:val="24"/>
          <w:highlight w:val="none"/>
        </w:rPr>
      </w:pPr>
    </w:p>
    <w:p>
      <w:pPr>
        <w:spacing w:line="480" w:lineRule="auto"/>
        <w:jc w:val="center"/>
        <w:rPr>
          <w:rFonts w:cs="Times New Roman" w:asciiTheme="minorEastAsia" w:hAnsiTheme="minorEastAsia" w:eastAsiaTheme="minorEastAsia"/>
          <w:b/>
          <w:color w:val="auto"/>
          <w:sz w:val="24"/>
          <w:szCs w:val="24"/>
          <w:highlight w:val="none"/>
        </w:rPr>
      </w:pPr>
    </w:p>
    <w:p>
      <w:pPr>
        <w:spacing w:line="480" w:lineRule="auto"/>
        <w:jc w:val="center"/>
        <w:rPr>
          <w:rFonts w:cs="Times New Roman" w:asciiTheme="minorEastAsia" w:hAnsiTheme="minorEastAsia" w:eastAsiaTheme="minorEastAsia"/>
          <w:b/>
          <w:color w:val="auto"/>
          <w:sz w:val="24"/>
          <w:szCs w:val="24"/>
          <w:highlight w:val="none"/>
        </w:rPr>
      </w:pPr>
    </w:p>
    <w:p>
      <w:pPr>
        <w:spacing w:line="360" w:lineRule="auto"/>
        <w:jc w:val="center"/>
        <w:outlineLvl w:val="1"/>
        <w:rPr>
          <w:rFonts w:asciiTheme="minorEastAsia" w:hAnsiTheme="minorEastAsia" w:eastAsiaTheme="minorEastAsia"/>
          <w:b/>
          <w:color w:val="auto"/>
          <w:sz w:val="24"/>
          <w:highlight w:val="none"/>
        </w:rPr>
      </w:pPr>
      <w:bookmarkStart w:id="62" w:name="_Toc2449"/>
      <w:r>
        <w:rPr>
          <w:rFonts w:hint="eastAsia" w:asciiTheme="minorEastAsia" w:hAnsiTheme="minorEastAsia" w:eastAsiaTheme="minorEastAsia"/>
          <w:b/>
          <w:color w:val="auto"/>
          <w:sz w:val="24"/>
          <w:highlight w:val="none"/>
        </w:rPr>
        <w:t>第一部分 合同书</w:t>
      </w:r>
      <w:bookmarkEnd w:id="62"/>
    </w:p>
    <w:p>
      <w:pPr>
        <w:spacing w:line="480" w:lineRule="auto"/>
        <w:jc w:val="center"/>
        <w:rPr>
          <w:rFonts w:cs="Times New Roman" w:asciiTheme="minorEastAsia" w:hAnsiTheme="minorEastAsia" w:eastAsiaTheme="minorEastAsia"/>
          <w:b/>
          <w:color w:val="auto"/>
          <w:sz w:val="24"/>
          <w:szCs w:val="24"/>
          <w:highlight w:val="none"/>
        </w:rPr>
      </w:pPr>
    </w:p>
    <w:p>
      <w:pPr>
        <w:spacing w:line="480" w:lineRule="auto"/>
        <w:jc w:val="center"/>
        <w:rPr>
          <w:rFonts w:cs="Times New Roman" w:asciiTheme="minorEastAsia" w:hAnsiTheme="minorEastAsia" w:eastAsiaTheme="minorEastAsia"/>
          <w:b/>
          <w:color w:val="auto"/>
          <w:sz w:val="24"/>
          <w:szCs w:val="24"/>
          <w:highlight w:val="none"/>
        </w:rPr>
      </w:pPr>
    </w:p>
    <w:p>
      <w:pPr>
        <w:pStyle w:val="12"/>
        <w:rPr>
          <w:color w:val="auto"/>
          <w:highlight w:val="none"/>
        </w:rPr>
      </w:pPr>
    </w:p>
    <w:p>
      <w:pPr>
        <w:pStyle w:val="12"/>
        <w:rPr>
          <w:color w:val="auto"/>
          <w:highlight w:val="none"/>
        </w:rPr>
      </w:pPr>
    </w:p>
    <w:p>
      <w:pPr>
        <w:spacing w:before="120" w:line="480" w:lineRule="auto"/>
        <w:ind w:left="960"/>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lang w:eastAsia="zh-CN"/>
        </w:rPr>
        <w:t>安徽滁州技师学院新校区校医院服务项目</w:t>
      </w:r>
    </w:p>
    <w:p>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eastAsia="zh-CN"/>
        </w:rPr>
        <w:t>滁州市机电工程学校</w:t>
      </w:r>
      <w:r>
        <w:rPr>
          <w:rFonts w:hint="eastAsia" w:cs="Times New Roman" w:asciiTheme="minorEastAsia" w:hAnsiTheme="minorEastAsia" w:eastAsiaTheme="minorEastAsia"/>
          <w:color w:val="auto"/>
          <w:sz w:val="24"/>
          <w:szCs w:val="24"/>
          <w:highlight w:val="none"/>
          <w:u w:val="single"/>
        </w:rPr>
        <w:t xml:space="preserve">        </w:t>
      </w:r>
    </w:p>
    <w:p>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eastAsia="zh-CN"/>
        </w:rPr>
        <w:t>滁州市机电工程学校</w:t>
      </w:r>
      <w:r>
        <w:rPr>
          <w:rFonts w:hint="eastAsia" w:cs="Times New Roman" w:asciiTheme="minorEastAsia" w:hAnsiTheme="minorEastAsia" w:eastAsiaTheme="minorEastAsia"/>
          <w:color w:val="auto"/>
          <w:sz w:val="24"/>
          <w:szCs w:val="24"/>
          <w:highlight w:val="none"/>
          <w:u w:val="single"/>
        </w:rPr>
        <w:t xml:space="preserve">           </w:t>
      </w:r>
    </w:p>
    <w:p>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pPr>
        <w:spacing w:line="5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eastAsia="zh-CN"/>
        </w:rPr>
        <w:t>滁州市机电工程学校</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eastAsia="zh-CN"/>
        </w:rPr>
        <w:t>安徽人和项目管理有限公司</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pPr>
        <w:spacing w:line="500" w:lineRule="exact"/>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pPr>
        <w:spacing w:line="500" w:lineRule="exact"/>
        <w:ind w:firstLine="435"/>
        <w:rPr>
          <w:rFonts w:hint="eastAsia" w:cs="Times New Roman" w:asciiTheme="minorEastAsia" w:hAnsiTheme="minorEastAsia" w:eastAsiaTheme="minorEastAsia"/>
          <w:color w:val="auto"/>
          <w:sz w:val="24"/>
          <w:szCs w:val="24"/>
          <w:highlight w:val="none"/>
        </w:rPr>
      </w:pPr>
      <w:bookmarkStart w:id="63" w:name="_Toc3736"/>
      <w:r>
        <w:rPr>
          <w:rFonts w:hint="eastAsia" w:cs="Times New Roman" w:asciiTheme="minorEastAsia" w:hAnsiTheme="minorEastAsia" w:eastAsiaTheme="minorEastAsia"/>
          <w:color w:val="auto"/>
          <w:sz w:val="24"/>
          <w:szCs w:val="24"/>
          <w:highlight w:val="none"/>
        </w:rPr>
        <w:t>为了</w:t>
      </w:r>
      <w:r>
        <w:rPr>
          <w:rFonts w:hint="eastAsia" w:cs="Times New Roman" w:asciiTheme="minorEastAsia" w:hAnsiTheme="minorEastAsia" w:eastAsiaTheme="minorEastAsia"/>
          <w:color w:val="auto"/>
          <w:sz w:val="24"/>
          <w:szCs w:val="24"/>
          <w:highlight w:val="none"/>
          <w:lang w:eastAsia="zh-CN"/>
        </w:rPr>
        <w:t>贯</w:t>
      </w:r>
      <w:r>
        <w:rPr>
          <w:rFonts w:hint="eastAsia" w:cs="Times New Roman" w:asciiTheme="minorEastAsia" w:hAnsiTheme="minorEastAsia" w:eastAsiaTheme="minorEastAsia"/>
          <w:color w:val="auto"/>
          <w:sz w:val="24"/>
          <w:szCs w:val="24"/>
          <w:highlight w:val="none"/>
        </w:rPr>
        <w:t>彻落实国家教育部、卫生部联合下发的《学校卫生工作条例》，依据高校后勤社会化相关政策精神，</w:t>
      </w:r>
      <w:r>
        <w:rPr>
          <w:rFonts w:hint="eastAsia" w:cs="Times New Roman" w:asciiTheme="minorEastAsia" w:hAnsiTheme="minorEastAsia" w:eastAsiaTheme="minorEastAsia"/>
          <w:color w:val="auto"/>
          <w:sz w:val="24"/>
          <w:szCs w:val="24"/>
          <w:highlight w:val="none"/>
          <w:lang w:eastAsia="zh-CN"/>
        </w:rPr>
        <w:t>滁州市机电工程学校（安徽滁州技师学院） 医务室服务项目于</w:t>
      </w:r>
      <w:r>
        <w:rPr>
          <w:rFonts w:hint="eastAsia" w:cs="Times New Roman" w:asciiTheme="minorEastAsia" w:hAnsiTheme="minorEastAsia" w:eastAsiaTheme="minorEastAsia"/>
          <w:color w:val="auto"/>
          <w:sz w:val="24"/>
          <w:szCs w:val="24"/>
          <w:highlight w:val="none"/>
          <w:lang w:val="en-US" w:eastAsia="zh-CN"/>
        </w:rPr>
        <w:t xml:space="preserve">   年 月  日公开招标，由           </w:t>
      </w:r>
      <w:r>
        <w:rPr>
          <w:rFonts w:hint="eastAsia" w:cs="Times New Roman" w:asciiTheme="minorEastAsia" w:hAnsiTheme="minorEastAsia" w:eastAsiaTheme="minorEastAsia"/>
          <w:color w:val="auto"/>
          <w:sz w:val="24"/>
          <w:szCs w:val="24"/>
          <w:highlight w:val="none"/>
          <w:lang w:eastAsia="zh-CN"/>
        </w:rPr>
        <w:t>以每年</w:t>
      </w:r>
      <w:r>
        <w:rPr>
          <w:rFonts w:hint="eastAsia" w:cs="Times New Roman" w:asciiTheme="minorEastAsia" w:hAnsiTheme="minorEastAsia" w:eastAsiaTheme="minorEastAsia"/>
          <w:color w:val="auto"/>
          <w:sz w:val="24"/>
          <w:szCs w:val="24"/>
          <w:highlight w:val="none"/>
          <w:lang w:val="en-US" w:eastAsia="zh-CN"/>
        </w:rPr>
        <w:t xml:space="preserve">    万元服务费</w:t>
      </w:r>
      <w:r>
        <w:rPr>
          <w:rFonts w:hint="eastAsia" w:cs="Times New Roman" w:asciiTheme="minorEastAsia" w:hAnsiTheme="minorEastAsia" w:eastAsiaTheme="minorEastAsia"/>
          <w:color w:val="auto"/>
          <w:sz w:val="24"/>
          <w:szCs w:val="24"/>
          <w:highlight w:val="none"/>
          <w:lang w:eastAsia="zh-CN"/>
        </w:rPr>
        <w:t>中标；经</w:t>
      </w:r>
      <w:r>
        <w:rPr>
          <w:rFonts w:hint="eastAsia" w:cs="Times New Roman" w:asciiTheme="minorEastAsia" w:hAnsiTheme="minorEastAsia" w:eastAsiaTheme="minorEastAsia"/>
          <w:color w:val="auto"/>
          <w:sz w:val="24"/>
          <w:szCs w:val="24"/>
          <w:highlight w:val="none"/>
        </w:rPr>
        <w:t>双方协商，签订</w:t>
      </w:r>
      <w:r>
        <w:rPr>
          <w:rFonts w:hint="eastAsia" w:cs="Times New Roman" w:asciiTheme="minorEastAsia" w:hAnsiTheme="minorEastAsia" w:eastAsiaTheme="minorEastAsia"/>
          <w:color w:val="auto"/>
          <w:sz w:val="24"/>
          <w:szCs w:val="24"/>
          <w:highlight w:val="none"/>
          <w:lang w:eastAsia="zh-CN"/>
        </w:rPr>
        <w:t>协议</w:t>
      </w:r>
      <w:r>
        <w:rPr>
          <w:rFonts w:hint="eastAsia" w:cs="Times New Roman" w:asciiTheme="minorEastAsia" w:hAnsiTheme="minorEastAsia" w:eastAsiaTheme="minorEastAsia"/>
          <w:color w:val="auto"/>
          <w:sz w:val="24"/>
          <w:szCs w:val="24"/>
          <w:highlight w:val="none"/>
        </w:rPr>
        <w:t>如下：</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合作内容：</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甲方在校区为乙方提供场所，乙方设置医疗室（</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rPr>
        <w:t>）。医疗室的登记注册一切事宜和相关费用由乙方负责，甲方协助。</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医疗服务站服务内容包括：</w:t>
      </w:r>
    </w:p>
    <w:p>
      <w:pPr>
        <w:spacing w:line="500" w:lineRule="exact"/>
        <w:ind w:firstLine="435"/>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rPr>
        <w:t>学生</w:t>
      </w:r>
      <w:r>
        <w:rPr>
          <w:rFonts w:hint="eastAsia" w:cs="Times New Roman" w:asciiTheme="minorEastAsia" w:hAnsiTheme="minorEastAsia" w:eastAsiaTheme="minorEastAsia"/>
          <w:color w:val="auto"/>
          <w:sz w:val="24"/>
          <w:szCs w:val="24"/>
          <w:highlight w:val="none"/>
          <w:lang w:eastAsia="zh-CN"/>
        </w:rPr>
        <w:t>健康监测</w:t>
      </w:r>
      <w:r>
        <w:rPr>
          <w:rFonts w:hint="eastAsia" w:cs="Times New Roman" w:asciiTheme="minorEastAsia" w:hAnsiTheme="minorEastAsia" w:eastAsiaTheme="minorEastAsia"/>
          <w:color w:val="auto"/>
          <w:sz w:val="24"/>
          <w:szCs w:val="24"/>
          <w:highlight w:val="none"/>
        </w:rPr>
        <w:t>；学生日常医</w:t>
      </w:r>
      <w:r>
        <w:rPr>
          <w:rFonts w:hint="eastAsia" w:cs="Times New Roman" w:asciiTheme="minorEastAsia" w:hAnsiTheme="minorEastAsia" w:eastAsiaTheme="minorEastAsia"/>
          <w:color w:val="auto"/>
          <w:sz w:val="24"/>
          <w:szCs w:val="24"/>
          <w:highlight w:val="none"/>
          <w:lang w:eastAsia="zh-CN"/>
        </w:rPr>
        <w:t>疗及</w:t>
      </w:r>
      <w:r>
        <w:rPr>
          <w:rFonts w:hint="eastAsia" w:cs="Times New Roman" w:asciiTheme="minorEastAsia" w:hAnsiTheme="minorEastAsia" w:eastAsiaTheme="minorEastAsia"/>
          <w:color w:val="auto"/>
          <w:sz w:val="24"/>
          <w:szCs w:val="24"/>
          <w:highlight w:val="none"/>
        </w:rPr>
        <w:t>保健；教职工医疗</w:t>
      </w:r>
      <w:r>
        <w:rPr>
          <w:rFonts w:hint="eastAsia" w:cs="Times New Roman" w:asciiTheme="minorEastAsia" w:hAnsiTheme="minorEastAsia" w:eastAsiaTheme="minorEastAsia"/>
          <w:color w:val="auto"/>
          <w:sz w:val="24"/>
          <w:szCs w:val="24"/>
          <w:highlight w:val="none"/>
          <w:lang w:eastAsia="zh-CN"/>
        </w:rPr>
        <w:t>及健康</w:t>
      </w:r>
      <w:r>
        <w:rPr>
          <w:rFonts w:hint="eastAsia" w:cs="Times New Roman" w:asciiTheme="minorEastAsia" w:hAnsiTheme="minorEastAsia" w:eastAsiaTheme="minorEastAsia"/>
          <w:color w:val="auto"/>
          <w:sz w:val="24"/>
          <w:szCs w:val="24"/>
          <w:highlight w:val="none"/>
        </w:rPr>
        <w:t>（自愿）；传染病防控</w:t>
      </w:r>
      <w:r>
        <w:rPr>
          <w:rFonts w:hint="eastAsia" w:cs="Times New Roman" w:asciiTheme="minorEastAsia" w:hAnsiTheme="minorEastAsia" w:eastAsiaTheme="minorEastAsia"/>
          <w:color w:val="auto"/>
          <w:sz w:val="24"/>
          <w:szCs w:val="24"/>
          <w:highlight w:val="none"/>
          <w:lang w:eastAsia="zh-CN"/>
        </w:rPr>
        <w:t>；学生活动医疗保障、健康档案建立和管理；学校健康教育宣传、辅組学校食堂食品卫生安全管理。</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二、甲、乙双方权利义务：</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甲方：</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1、</w:t>
      </w:r>
      <w:r>
        <w:rPr>
          <w:rFonts w:hint="eastAsia" w:cs="Times New Roman" w:asciiTheme="minorEastAsia" w:hAnsiTheme="minorEastAsia" w:eastAsiaTheme="minorEastAsia"/>
          <w:color w:val="auto"/>
          <w:sz w:val="24"/>
          <w:szCs w:val="24"/>
          <w:highlight w:val="none"/>
        </w:rPr>
        <w:t>在合作期间甲方负责提供乙方医疗场地</w:t>
      </w:r>
      <w:r>
        <w:rPr>
          <w:rFonts w:hint="eastAsia" w:cs="Times New Roman" w:asciiTheme="minorEastAsia" w:hAnsiTheme="minorEastAsia" w:eastAsiaTheme="minorEastAsia"/>
          <w:color w:val="auto"/>
          <w:sz w:val="24"/>
          <w:szCs w:val="24"/>
          <w:highlight w:val="none"/>
          <w:lang w:eastAsia="zh-CN"/>
        </w:rPr>
        <w:t>和一些必要的办公设备。</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2、</w:t>
      </w:r>
      <w:r>
        <w:rPr>
          <w:rFonts w:hint="eastAsia" w:cs="Times New Roman" w:asciiTheme="minorEastAsia" w:hAnsiTheme="minorEastAsia" w:eastAsiaTheme="minorEastAsia"/>
          <w:color w:val="auto"/>
          <w:sz w:val="24"/>
          <w:szCs w:val="24"/>
          <w:highlight w:val="none"/>
        </w:rPr>
        <w:t>甲方</w:t>
      </w:r>
      <w:r>
        <w:rPr>
          <w:rFonts w:hint="eastAsia" w:cs="Times New Roman" w:asciiTheme="minorEastAsia" w:hAnsiTheme="minorEastAsia" w:eastAsiaTheme="minorEastAsia"/>
          <w:color w:val="auto"/>
          <w:sz w:val="24"/>
          <w:szCs w:val="24"/>
          <w:highlight w:val="none"/>
          <w:lang w:eastAsia="zh-CN"/>
        </w:rPr>
        <w:t>为乙</w:t>
      </w:r>
      <w:r>
        <w:rPr>
          <w:rFonts w:hint="eastAsia" w:cs="Times New Roman" w:asciiTheme="minorEastAsia" w:hAnsiTheme="minorEastAsia" w:eastAsiaTheme="minorEastAsia"/>
          <w:color w:val="auto"/>
          <w:sz w:val="24"/>
          <w:szCs w:val="24"/>
          <w:highlight w:val="none"/>
        </w:rPr>
        <w:t>提供水</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电</w:t>
      </w:r>
      <w:r>
        <w:rPr>
          <w:rFonts w:hint="eastAsia" w:cs="Times New Roman" w:asciiTheme="minorEastAsia" w:hAnsiTheme="minorEastAsia" w:eastAsiaTheme="minorEastAsia"/>
          <w:color w:val="auto"/>
          <w:sz w:val="24"/>
          <w:szCs w:val="24"/>
          <w:highlight w:val="none"/>
          <w:lang w:eastAsia="zh-CN"/>
        </w:rPr>
        <w:t>及免费的</w:t>
      </w:r>
      <w:r>
        <w:rPr>
          <w:rFonts w:hint="eastAsia" w:cs="Times New Roman" w:asciiTheme="minorEastAsia" w:hAnsiTheme="minorEastAsia" w:eastAsiaTheme="minorEastAsia"/>
          <w:color w:val="auto"/>
          <w:sz w:val="24"/>
          <w:szCs w:val="24"/>
          <w:highlight w:val="none"/>
        </w:rPr>
        <w:t>网络</w:t>
      </w:r>
      <w:r>
        <w:rPr>
          <w:rFonts w:hint="eastAsia" w:cs="Times New Roman" w:asciiTheme="minorEastAsia" w:hAnsiTheme="minorEastAsia" w:eastAsiaTheme="minorEastAsia"/>
          <w:color w:val="auto"/>
          <w:sz w:val="24"/>
          <w:szCs w:val="24"/>
          <w:highlight w:val="none"/>
          <w:lang w:eastAsia="zh-CN"/>
        </w:rPr>
        <w:t>连</w:t>
      </w:r>
      <w:r>
        <w:rPr>
          <w:rFonts w:hint="eastAsia" w:cs="Times New Roman" w:asciiTheme="minorEastAsia" w:hAnsiTheme="minorEastAsia" w:eastAsiaTheme="minorEastAsia"/>
          <w:color w:val="auto"/>
          <w:sz w:val="24"/>
          <w:szCs w:val="24"/>
          <w:highlight w:val="none"/>
        </w:rPr>
        <w:t>接。</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3、</w:t>
      </w:r>
      <w:r>
        <w:rPr>
          <w:rFonts w:hint="eastAsia" w:cs="Times New Roman" w:asciiTheme="minorEastAsia" w:hAnsiTheme="minorEastAsia" w:eastAsiaTheme="minorEastAsia"/>
          <w:color w:val="auto"/>
          <w:sz w:val="24"/>
          <w:szCs w:val="24"/>
          <w:highlight w:val="none"/>
          <w:lang w:eastAsia="zh-CN"/>
        </w:rPr>
        <w:t>负责协调乙方和学生之间的医疗服务矛盾。</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4、</w:t>
      </w:r>
      <w:r>
        <w:rPr>
          <w:rFonts w:hint="eastAsia" w:cs="Times New Roman" w:asciiTheme="minorEastAsia" w:hAnsiTheme="minorEastAsia" w:eastAsiaTheme="minorEastAsia"/>
          <w:color w:val="auto"/>
          <w:sz w:val="24"/>
          <w:szCs w:val="24"/>
          <w:highlight w:val="none"/>
          <w:lang w:eastAsia="zh-CN"/>
        </w:rPr>
        <w:t>对乙方合同期内应履行的职责进行监督、检查和考核。</w:t>
      </w:r>
      <w:r>
        <w:rPr>
          <w:rFonts w:hint="eastAsia" w:cs="Times New Roman" w:asciiTheme="minorEastAsia" w:hAnsiTheme="minorEastAsia" w:eastAsiaTheme="minorEastAsia"/>
          <w:color w:val="auto"/>
          <w:sz w:val="24"/>
          <w:szCs w:val="24"/>
          <w:highlight w:val="none"/>
        </w:rPr>
        <w:t>对学生反映的问题有权要求乙方及时纠正。</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乙方：</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1、</w:t>
      </w:r>
      <w:r>
        <w:rPr>
          <w:rFonts w:hint="eastAsia" w:cs="Times New Roman" w:asciiTheme="minorEastAsia" w:hAnsiTheme="minorEastAsia" w:eastAsiaTheme="minorEastAsia"/>
          <w:color w:val="auto"/>
          <w:sz w:val="24"/>
          <w:szCs w:val="24"/>
          <w:highlight w:val="none"/>
        </w:rPr>
        <w:t>乙方选配业务技术精、管理理能力强的</w:t>
      </w:r>
      <w:r>
        <w:rPr>
          <w:rFonts w:hint="eastAsia" w:cs="Times New Roman" w:asciiTheme="minorEastAsia" w:hAnsiTheme="minorEastAsia" w:eastAsiaTheme="minorEastAsia"/>
          <w:color w:val="auto"/>
          <w:sz w:val="24"/>
          <w:szCs w:val="24"/>
          <w:highlight w:val="none"/>
          <w:lang w:eastAsia="zh-CN"/>
        </w:rPr>
        <w:t>，服务态度好的</w:t>
      </w:r>
      <w:r>
        <w:rPr>
          <w:rFonts w:hint="eastAsia" w:cs="Times New Roman" w:asciiTheme="minorEastAsia" w:hAnsiTheme="minorEastAsia" w:eastAsiaTheme="minorEastAsia"/>
          <w:color w:val="auto"/>
          <w:sz w:val="24"/>
          <w:szCs w:val="24"/>
          <w:highlight w:val="none"/>
        </w:rPr>
        <w:t>医务人员履行乙方职责，合法经营。</w:t>
      </w:r>
      <w:r>
        <w:rPr>
          <w:rFonts w:hint="eastAsia" w:cs="Times New Roman" w:asciiTheme="minorEastAsia" w:hAnsiTheme="minorEastAsia" w:eastAsiaTheme="minorEastAsia"/>
          <w:color w:val="auto"/>
          <w:sz w:val="24"/>
          <w:szCs w:val="24"/>
          <w:highlight w:val="none"/>
          <w:lang w:eastAsia="zh-CN"/>
        </w:rPr>
        <w:t>承担合同期内医疗服务活动中的医疗事故责任。</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2、</w:t>
      </w:r>
      <w:r>
        <w:rPr>
          <w:rFonts w:hint="eastAsia" w:cs="Times New Roman" w:asciiTheme="minorEastAsia" w:hAnsiTheme="minorEastAsia" w:eastAsiaTheme="minorEastAsia"/>
          <w:color w:val="auto"/>
          <w:sz w:val="24"/>
          <w:szCs w:val="24"/>
          <w:highlight w:val="none"/>
        </w:rPr>
        <w:t>医疗室医疗器械由乙方负责配备并保证能够正常使用</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应以优质医疗技术、良好的服务为甲方师生员工及应诊人员的疾病提供合理的治疗（包括急诊、重症病人会诊、转诊）。</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3、</w:t>
      </w:r>
      <w:r>
        <w:rPr>
          <w:rFonts w:hint="eastAsia" w:cs="Times New Roman" w:asciiTheme="minorEastAsia" w:hAnsiTheme="minorEastAsia" w:eastAsiaTheme="minorEastAsia"/>
          <w:color w:val="auto"/>
          <w:sz w:val="24"/>
          <w:szCs w:val="24"/>
          <w:highlight w:val="none"/>
          <w:lang w:eastAsia="zh-CN"/>
        </w:rPr>
        <w:t>乙方则协调处理市疾控部门和学校的相关事宜。</w:t>
      </w:r>
    </w:p>
    <w:p>
      <w:pPr>
        <w:spacing w:line="500" w:lineRule="exact"/>
        <w:ind w:firstLine="435"/>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lang w:val="en-US" w:eastAsia="zh-CN"/>
        </w:rPr>
        <w:t>4、</w:t>
      </w:r>
      <w:r>
        <w:rPr>
          <w:rFonts w:hint="eastAsia" w:cs="Times New Roman" w:asciiTheme="minorEastAsia" w:hAnsiTheme="minorEastAsia" w:eastAsiaTheme="minorEastAsia"/>
          <w:color w:val="auto"/>
          <w:sz w:val="24"/>
          <w:szCs w:val="24"/>
          <w:highlight w:val="none"/>
          <w:lang w:eastAsia="zh-CN"/>
        </w:rPr>
        <w:t>负责承担</w:t>
      </w:r>
      <w:r>
        <w:rPr>
          <w:rFonts w:hint="eastAsia" w:cs="Times New Roman" w:asciiTheme="minorEastAsia" w:hAnsiTheme="minorEastAsia" w:eastAsiaTheme="minorEastAsia"/>
          <w:color w:val="auto"/>
          <w:sz w:val="24"/>
          <w:szCs w:val="24"/>
          <w:highlight w:val="none"/>
        </w:rPr>
        <w:t>甲方</w:t>
      </w:r>
      <w:r>
        <w:rPr>
          <w:rFonts w:hint="eastAsia" w:cs="Times New Roman" w:asciiTheme="minorEastAsia" w:hAnsiTheme="minorEastAsia" w:eastAsiaTheme="minorEastAsia"/>
          <w:color w:val="auto"/>
          <w:sz w:val="24"/>
          <w:szCs w:val="24"/>
          <w:highlight w:val="none"/>
          <w:lang w:eastAsia="zh-CN"/>
        </w:rPr>
        <w:t>在</w:t>
      </w:r>
      <w:r>
        <w:rPr>
          <w:rFonts w:hint="eastAsia" w:cs="Times New Roman" w:asciiTheme="minorEastAsia" w:hAnsiTheme="minorEastAsia" w:eastAsiaTheme="minorEastAsia"/>
          <w:color w:val="auto"/>
          <w:sz w:val="24"/>
          <w:szCs w:val="24"/>
          <w:highlight w:val="none"/>
        </w:rPr>
        <w:t>校学生</w:t>
      </w:r>
      <w:r>
        <w:rPr>
          <w:rFonts w:hint="eastAsia" w:cs="Times New Roman" w:asciiTheme="minorEastAsia" w:hAnsiTheme="minorEastAsia" w:eastAsiaTheme="minorEastAsia"/>
          <w:color w:val="auto"/>
          <w:sz w:val="24"/>
          <w:szCs w:val="24"/>
          <w:highlight w:val="none"/>
          <w:lang w:eastAsia="zh-CN"/>
        </w:rPr>
        <w:t>医疗保健的保障工作（教职工自愿），费用标准为：药品零差价、输液、换药等不高于社区卫生服务站标准（按投标承诺标准公示）。</w:t>
      </w:r>
    </w:p>
    <w:p>
      <w:pPr>
        <w:spacing w:line="500" w:lineRule="exact"/>
        <w:ind w:firstLine="435"/>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5、做好传染病防控工作，实行“学生病情证明登记备案制度”落实传染病登记及上报</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6、</w:t>
      </w:r>
      <w:r>
        <w:rPr>
          <w:rFonts w:hint="eastAsia" w:cs="Times New Roman" w:asciiTheme="minorEastAsia" w:hAnsiTheme="minorEastAsia" w:eastAsiaTheme="minorEastAsia"/>
          <w:color w:val="auto"/>
          <w:sz w:val="24"/>
          <w:szCs w:val="24"/>
          <w:highlight w:val="none"/>
        </w:rPr>
        <w:t>承担学校卫生防疫管理工作，负责制定学校</w:t>
      </w:r>
      <w:r>
        <w:rPr>
          <w:rFonts w:hint="eastAsia" w:cs="Times New Roman" w:asciiTheme="minorEastAsia" w:hAnsiTheme="minorEastAsia" w:eastAsiaTheme="minorEastAsia"/>
          <w:color w:val="auto"/>
          <w:sz w:val="24"/>
          <w:szCs w:val="24"/>
          <w:highlight w:val="none"/>
          <w:lang w:eastAsia="zh-CN"/>
        </w:rPr>
        <w:t>医疗</w:t>
      </w:r>
      <w:r>
        <w:rPr>
          <w:rFonts w:hint="eastAsia" w:cs="Times New Roman" w:asciiTheme="minorEastAsia" w:hAnsiTheme="minorEastAsia" w:eastAsiaTheme="minorEastAsia"/>
          <w:color w:val="auto"/>
          <w:sz w:val="24"/>
          <w:szCs w:val="24"/>
          <w:highlight w:val="none"/>
        </w:rPr>
        <w:t>卫生管理工作的目标和要求，</w:t>
      </w:r>
      <w:r>
        <w:rPr>
          <w:rFonts w:hint="eastAsia" w:cs="Times New Roman" w:asciiTheme="minorEastAsia" w:hAnsiTheme="minorEastAsia" w:eastAsiaTheme="minorEastAsia"/>
          <w:color w:val="auto"/>
          <w:sz w:val="24"/>
          <w:szCs w:val="24"/>
          <w:highlight w:val="none"/>
          <w:lang w:eastAsia="zh-CN"/>
        </w:rPr>
        <w:t>认真做好学校健康教育宣传工作。</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7、</w:t>
      </w:r>
      <w:r>
        <w:rPr>
          <w:rFonts w:hint="eastAsia" w:cs="Times New Roman" w:asciiTheme="minorEastAsia" w:hAnsiTheme="minorEastAsia" w:eastAsiaTheme="minorEastAsia"/>
          <w:color w:val="auto"/>
          <w:sz w:val="24"/>
          <w:szCs w:val="24"/>
          <w:highlight w:val="none"/>
        </w:rPr>
        <w:t>医护人员</w:t>
      </w:r>
      <w:r>
        <w:rPr>
          <w:rFonts w:hint="eastAsia" w:cs="Times New Roman" w:asciiTheme="minorEastAsia" w:hAnsiTheme="minorEastAsia" w:eastAsiaTheme="minorEastAsia"/>
          <w:color w:val="auto"/>
          <w:sz w:val="24"/>
          <w:szCs w:val="24"/>
          <w:highlight w:val="none"/>
          <w:lang w:eastAsia="zh-CN"/>
        </w:rPr>
        <w:t>（白天必须保证</w:t>
      </w:r>
      <w:r>
        <w:rPr>
          <w:rFonts w:hint="eastAsia" w:cs="Times New Roman" w:asciiTheme="minorEastAsia" w:hAnsiTheme="minorEastAsia" w:eastAsiaTheme="minorEastAsia"/>
          <w:color w:val="auto"/>
          <w:sz w:val="24"/>
          <w:szCs w:val="24"/>
          <w:highlight w:val="none"/>
          <w:lang w:val="en-US" w:eastAsia="zh-CN"/>
        </w:rPr>
        <w:t>1名医生在岗</w:t>
      </w:r>
      <w:r>
        <w:rPr>
          <w:rFonts w:hint="eastAsia" w:cs="Times New Roman" w:asciiTheme="minorEastAsia" w:hAnsiTheme="minorEastAsia" w:eastAsiaTheme="minorEastAsia"/>
          <w:color w:val="auto"/>
          <w:sz w:val="24"/>
          <w:szCs w:val="24"/>
          <w:highlight w:val="none"/>
          <w:lang w:eastAsia="zh-CN"/>
        </w:rPr>
        <w:t>）实行</w:t>
      </w:r>
      <w:r>
        <w:rPr>
          <w:rFonts w:hint="eastAsia" w:cs="Times New Roman" w:asciiTheme="minorEastAsia" w:hAnsiTheme="minorEastAsia" w:eastAsiaTheme="minorEastAsia"/>
          <w:color w:val="auto"/>
          <w:sz w:val="24"/>
          <w:szCs w:val="24"/>
          <w:highlight w:val="none"/>
        </w:rPr>
        <w:t>24小时</w:t>
      </w:r>
      <w:r>
        <w:rPr>
          <w:rFonts w:hint="eastAsia" w:cs="Times New Roman" w:asciiTheme="minorEastAsia" w:hAnsiTheme="minorEastAsia" w:eastAsiaTheme="minorEastAsia"/>
          <w:color w:val="auto"/>
          <w:sz w:val="24"/>
          <w:szCs w:val="24"/>
          <w:highlight w:val="none"/>
          <w:lang w:eastAsia="zh-CN"/>
        </w:rPr>
        <w:t>上</w:t>
      </w:r>
      <w:r>
        <w:rPr>
          <w:rFonts w:hint="eastAsia" w:cs="Times New Roman" w:asciiTheme="minorEastAsia" w:hAnsiTheme="minorEastAsia" w:eastAsiaTheme="minorEastAsia"/>
          <w:color w:val="auto"/>
          <w:sz w:val="24"/>
          <w:szCs w:val="24"/>
          <w:highlight w:val="none"/>
        </w:rPr>
        <w:t>班</w:t>
      </w:r>
      <w:r>
        <w:rPr>
          <w:rFonts w:hint="eastAsia" w:cs="Times New Roman" w:asciiTheme="minorEastAsia" w:hAnsiTheme="minorEastAsia" w:eastAsiaTheme="minorEastAsia"/>
          <w:color w:val="auto"/>
          <w:sz w:val="24"/>
          <w:szCs w:val="24"/>
          <w:highlight w:val="none"/>
          <w:lang w:eastAsia="zh-CN"/>
        </w:rPr>
        <w:t>签到制，严禁酒后上岗；严禁脱岗、严禁做与医疗服务无关的活动事项，每发现一次处罚</w:t>
      </w:r>
      <w:r>
        <w:rPr>
          <w:rFonts w:hint="eastAsia" w:cs="Times New Roman" w:asciiTheme="minorEastAsia" w:hAnsiTheme="minorEastAsia" w:eastAsiaTheme="minorEastAsia"/>
          <w:color w:val="auto"/>
          <w:sz w:val="24"/>
          <w:szCs w:val="24"/>
          <w:highlight w:val="none"/>
          <w:lang w:val="en-US" w:eastAsia="zh-CN"/>
        </w:rPr>
        <w:t>300元</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认真防控落实学校各项防疫工做，做好</w:t>
      </w:r>
      <w:r>
        <w:rPr>
          <w:rFonts w:hint="eastAsia" w:cs="Times New Roman" w:asciiTheme="minorEastAsia" w:hAnsiTheme="minorEastAsia" w:eastAsiaTheme="minorEastAsia"/>
          <w:color w:val="auto"/>
          <w:sz w:val="24"/>
          <w:szCs w:val="24"/>
          <w:highlight w:val="none"/>
        </w:rPr>
        <w:t>突发事件的应急方案，并负责组织实施。</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8、对学校开展的各项活动，提前做好医疗保障预案，认真做好学校各项活动师生健康保障工作。</w:t>
      </w:r>
    </w:p>
    <w:p>
      <w:pPr>
        <w:spacing w:line="500" w:lineRule="exact"/>
        <w:ind w:firstLine="435"/>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9、辅助甲方做好学生健康体检工作，建立和管理学生健康档案。辅助甲方做好学校食堂食品卫生安全管理。</w:t>
      </w:r>
    </w:p>
    <w:p>
      <w:pPr>
        <w:spacing w:line="500" w:lineRule="exact"/>
        <w:ind w:firstLine="435"/>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10、积极做好服务工作，自觉接受甲方监督检查，对甲方提出的问题，应及时整改。</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三、医疗保健内容及医疗人员工作职责：</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医疗保健是根据《学校卫生工作条例》的规定而设，主要负责</w:t>
      </w:r>
    </w:p>
    <w:p>
      <w:pPr>
        <w:spacing w:line="500" w:lineRule="exact"/>
        <w:ind w:firstLine="435"/>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lang w:eastAsia="zh-CN"/>
        </w:rPr>
        <w:t>对</w:t>
      </w:r>
      <w:r>
        <w:rPr>
          <w:rFonts w:hint="eastAsia" w:cs="Times New Roman" w:asciiTheme="minorEastAsia" w:hAnsiTheme="minorEastAsia" w:eastAsiaTheme="minorEastAsia"/>
          <w:color w:val="auto"/>
          <w:sz w:val="24"/>
          <w:szCs w:val="24"/>
          <w:highlight w:val="none"/>
        </w:rPr>
        <w:t>校园内的卫生</w:t>
      </w:r>
      <w:r>
        <w:rPr>
          <w:rFonts w:hint="eastAsia" w:cs="Times New Roman" w:asciiTheme="minorEastAsia" w:hAnsiTheme="minorEastAsia" w:eastAsiaTheme="minorEastAsia"/>
          <w:color w:val="auto"/>
          <w:sz w:val="24"/>
          <w:szCs w:val="24"/>
          <w:highlight w:val="none"/>
          <w:lang w:eastAsia="zh-CN"/>
        </w:rPr>
        <w:t>健康</w:t>
      </w:r>
      <w:r>
        <w:rPr>
          <w:rFonts w:hint="eastAsia" w:cs="Times New Roman" w:asciiTheme="minorEastAsia" w:hAnsiTheme="minorEastAsia" w:eastAsiaTheme="minorEastAsia"/>
          <w:color w:val="auto"/>
          <w:sz w:val="24"/>
          <w:szCs w:val="24"/>
          <w:highlight w:val="none"/>
        </w:rPr>
        <w:t>管理</w:t>
      </w:r>
      <w:r>
        <w:rPr>
          <w:rFonts w:hint="eastAsia" w:cs="Times New Roman" w:asciiTheme="minorEastAsia" w:hAnsiTheme="minorEastAsia" w:eastAsiaTheme="minorEastAsia"/>
          <w:color w:val="auto"/>
          <w:sz w:val="24"/>
          <w:szCs w:val="24"/>
          <w:highlight w:val="none"/>
          <w:lang w:eastAsia="zh-CN"/>
        </w:rPr>
        <w:t>。</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1、</w:t>
      </w:r>
      <w:r>
        <w:rPr>
          <w:rFonts w:hint="eastAsia" w:cs="Times New Roman" w:asciiTheme="minorEastAsia" w:hAnsiTheme="minorEastAsia" w:eastAsiaTheme="minorEastAsia"/>
          <w:color w:val="auto"/>
          <w:sz w:val="24"/>
          <w:szCs w:val="24"/>
          <w:highlight w:val="none"/>
        </w:rPr>
        <w:t>负责全院师生员工的</w:t>
      </w:r>
      <w:r>
        <w:rPr>
          <w:rFonts w:hint="eastAsia" w:cs="Times New Roman" w:asciiTheme="minorEastAsia" w:hAnsiTheme="minorEastAsia" w:eastAsiaTheme="minorEastAsia"/>
          <w:color w:val="auto"/>
          <w:sz w:val="24"/>
          <w:szCs w:val="24"/>
          <w:highlight w:val="none"/>
          <w:lang w:eastAsia="zh-CN"/>
        </w:rPr>
        <w:t>医疗</w:t>
      </w:r>
      <w:r>
        <w:rPr>
          <w:rFonts w:hint="eastAsia" w:cs="Times New Roman" w:asciiTheme="minorEastAsia" w:hAnsiTheme="minorEastAsia" w:eastAsiaTheme="minorEastAsia"/>
          <w:color w:val="auto"/>
          <w:sz w:val="24"/>
          <w:szCs w:val="24"/>
          <w:highlight w:val="none"/>
        </w:rPr>
        <w:t>卫生</w:t>
      </w:r>
      <w:r>
        <w:rPr>
          <w:rFonts w:hint="eastAsia" w:cs="Times New Roman" w:asciiTheme="minorEastAsia" w:hAnsiTheme="minorEastAsia" w:eastAsiaTheme="minorEastAsia"/>
          <w:color w:val="auto"/>
          <w:sz w:val="24"/>
          <w:szCs w:val="24"/>
          <w:highlight w:val="none"/>
          <w:lang w:eastAsia="zh-CN"/>
        </w:rPr>
        <w:t>及</w:t>
      </w:r>
      <w:r>
        <w:rPr>
          <w:rFonts w:hint="eastAsia" w:cs="Times New Roman" w:asciiTheme="minorEastAsia" w:hAnsiTheme="minorEastAsia" w:eastAsiaTheme="minorEastAsia"/>
          <w:color w:val="auto"/>
          <w:sz w:val="24"/>
          <w:szCs w:val="24"/>
          <w:highlight w:val="none"/>
        </w:rPr>
        <w:t>保健工作和</w:t>
      </w:r>
      <w:r>
        <w:rPr>
          <w:rFonts w:hint="eastAsia" w:cs="Times New Roman" w:asciiTheme="minorEastAsia" w:hAnsiTheme="minorEastAsia" w:eastAsiaTheme="minorEastAsia"/>
          <w:color w:val="auto"/>
          <w:sz w:val="24"/>
          <w:szCs w:val="24"/>
          <w:highlight w:val="none"/>
          <w:lang w:eastAsia="zh-CN"/>
        </w:rPr>
        <w:t>传染</w:t>
      </w:r>
      <w:r>
        <w:rPr>
          <w:rFonts w:hint="eastAsia" w:cs="Times New Roman" w:asciiTheme="minorEastAsia" w:hAnsiTheme="minorEastAsia" w:eastAsiaTheme="minorEastAsia"/>
          <w:color w:val="auto"/>
          <w:sz w:val="24"/>
          <w:szCs w:val="24"/>
          <w:highlight w:val="none"/>
        </w:rPr>
        <w:t>病预防工作。</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2、</w:t>
      </w:r>
      <w:r>
        <w:rPr>
          <w:rFonts w:hint="eastAsia" w:cs="Times New Roman" w:asciiTheme="minorEastAsia" w:hAnsiTheme="minorEastAsia" w:eastAsiaTheme="minorEastAsia"/>
          <w:color w:val="auto"/>
          <w:sz w:val="24"/>
          <w:szCs w:val="24"/>
          <w:highlight w:val="none"/>
          <w:lang w:eastAsia="zh-CN"/>
        </w:rPr>
        <w:t>医务人员配合对学校食堂进行食品卫生安全检查并做好纪录；发现问题及时上报。</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3、</w:t>
      </w:r>
      <w:r>
        <w:rPr>
          <w:rFonts w:hint="eastAsia" w:cs="Times New Roman" w:asciiTheme="minorEastAsia" w:hAnsiTheme="minorEastAsia" w:eastAsiaTheme="minorEastAsia"/>
          <w:color w:val="auto"/>
          <w:sz w:val="24"/>
          <w:szCs w:val="24"/>
          <w:highlight w:val="none"/>
        </w:rPr>
        <w:t>负责制定</w:t>
      </w:r>
      <w:r>
        <w:rPr>
          <w:rFonts w:hint="eastAsia" w:cs="Times New Roman" w:asciiTheme="minorEastAsia" w:hAnsiTheme="minorEastAsia" w:eastAsiaTheme="minorEastAsia"/>
          <w:color w:val="auto"/>
          <w:sz w:val="24"/>
          <w:szCs w:val="24"/>
          <w:highlight w:val="none"/>
          <w:lang w:eastAsia="zh-CN"/>
        </w:rPr>
        <w:t>医务室医疗</w:t>
      </w:r>
      <w:r>
        <w:rPr>
          <w:rFonts w:hint="eastAsia" w:cs="Times New Roman" w:asciiTheme="minorEastAsia" w:hAnsiTheme="minorEastAsia" w:eastAsiaTheme="minorEastAsia"/>
          <w:color w:val="auto"/>
          <w:sz w:val="24"/>
          <w:szCs w:val="24"/>
          <w:highlight w:val="none"/>
        </w:rPr>
        <w:t>卫生工作突发事件的应急方案和学校卫生工作和要求。</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4、</w:t>
      </w:r>
      <w:r>
        <w:rPr>
          <w:rFonts w:hint="eastAsia" w:cs="Times New Roman" w:asciiTheme="minorEastAsia" w:hAnsiTheme="minorEastAsia" w:eastAsiaTheme="minorEastAsia"/>
          <w:color w:val="auto"/>
          <w:sz w:val="24"/>
          <w:szCs w:val="24"/>
          <w:highlight w:val="none"/>
        </w:rPr>
        <w:t>根据《传染病防治法》和《食品卫生法》</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对食堂、公寓</w:t>
      </w:r>
      <w:r>
        <w:rPr>
          <w:rFonts w:hint="eastAsia" w:cs="Times New Roman" w:asciiTheme="minorEastAsia" w:hAnsiTheme="minorEastAsia" w:eastAsiaTheme="minorEastAsia"/>
          <w:color w:val="auto"/>
          <w:sz w:val="24"/>
          <w:szCs w:val="24"/>
          <w:highlight w:val="none"/>
          <w:lang w:eastAsia="zh-CN"/>
        </w:rPr>
        <w:t>等公共场所</w:t>
      </w:r>
      <w:r>
        <w:rPr>
          <w:rFonts w:hint="eastAsia" w:cs="Times New Roman" w:asciiTheme="minorEastAsia" w:hAnsiTheme="minorEastAsia" w:eastAsiaTheme="minorEastAsia"/>
          <w:color w:val="auto"/>
          <w:sz w:val="24"/>
          <w:szCs w:val="24"/>
          <w:highlight w:val="none"/>
        </w:rPr>
        <w:t>的卫生状况，进行监督管理</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提供</w:t>
      </w:r>
      <w:r>
        <w:rPr>
          <w:rFonts w:hint="eastAsia" w:cs="Times New Roman" w:asciiTheme="minorEastAsia" w:hAnsiTheme="minorEastAsia" w:eastAsiaTheme="minorEastAsia"/>
          <w:color w:val="auto"/>
          <w:sz w:val="24"/>
          <w:szCs w:val="24"/>
          <w:highlight w:val="none"/>
          <w:lang w:eastAsia="zh-CN"/>
        </w:rPr>
        <w:t>消杀工作</w:t>
      </w:r>
      <w:r>
        <w:rPr>
          <w:rFonts w:hint="eastAsia" w:cs="Times New Roman" w:asciiTheme="minorEastAsia" w:hAnsiTheme="minorEastAsia" w:eastAsiaTheme="minorEastAsia"/>
          <w:color w:val="auto"/>
          <w:sz w:val="24"/>
          <w:szCs w:val="24"/>
          <w:highlight w:val="none"/>
        </w:rPr>
        <w:t>药品</w:t>
      </w:r>
      <w:r>
        <w:rPr>
          <w:rFonts w:hint="eastAsia" w:cs="Times New Roman" w:asciiTheme="minorEastAsia" w:hAnsiTheme="minorEastAsia" w:eastAsiaTheme="minorEastAsia"/>
          <w:color w:val="auto"/>
          <w:sz w:val="24"/>
          <w:szCs w:val="24"/>
          <w:highlight w:val="none"/>
          <w:lang w:eastAsia="zh-CN"/>
        </w:rPr>
        <w:t>配备的</w:t>
      </w:r>
      <w:r>
        <w:rPr>
          <w:rFonts w:hint="eastAsia" w:cs="Times New Roman" w:asciiTheme="minorEastAsia" w:hAnsiTheme="minorEastAsia" w:eastAsiaTheme="minorEastAsia"/>
          <w:color w:val="auto"/>
          <w:sz w:val="24"/>
          <w:szCs w:val="24"/>
          <w:highlight w:val="none"/>
        </w:rPr>
        <w:t>技术指导。卫生监督、卫生消毒均应进行造册记录（每</w:t>
      </w:r>
      <w:r>
        <w:rPr>
          <w:rFonts w:hint="eastAsia" w:cs="Times New Roman" w:asciiTheme="minorEastAsia" w:hAnsiTheme="minorEastAsia" w:eastAsiaTheme="minorEastAsia"/>
          <w:color w:val="auto"/>
          <w:sz w:val="24"/>
          <w:szCs w:val="24"/>
          <w:highlight w:val="none"/>
          <w:lang w:eastAsia="zh-CN"/>
        </w:rPr>
        <w:t>月</w:t>
      </w:r>
      <w:r>
        <w:rPr>
          <w:rFonts w:hint="eastAsia" w:cs="Times New Roman" w:asciiTheme="minorEastAsia" w:hAnsiTheme="minorEastAsia" w:eastAsiaTheme="minorEastAsia"/>
          <w:color w:val="auto"/>
          <w:sz w:val="24"/>
          <w:szCs w:val="24"/>
          <w:highlight w:val="none"/>
        </w:rPr>
        <w:t>不少于2次）。</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5、</w:t>
      </w:r>
      <w:r>
        <w:rPr>
          <w:rFonts w:hint="eastAsia" w:cs="Times New Roman" w:asciiTheme="minorEastAsia" w:hAnsiTheme="minorEastAsia" w:eastAsiaTheme="minorEastAsia"/>
          <w:color w:val="auto"/>
          <w:sz w:val="24"/>
          <w:szCs w:val="24"/>
          <w:highlight w:val="none"/>
        </w:rPr>
        <w:t>做好学生的健康检查、传染病的预防和常见病矫治工作。如：弱视、沙眼、龋齿、寄生虫、营养不良、贫血、脊柱弯曲、神经衰弱</w:t>
      </w:r>
      <w:r>
        <w:rPr>
          <w:rFonts w:hint="eastAsia" w:cs="Times New Roman" w:asciiTheme="minorEastAsia" w:hAnsiTheme="minorEastAsia" w:eastAsiaTheme="minorEastAsia"/>
          <w:color w:val="auto"/>
          <w:sz w:val="24"/>
          <w:szCs w:val="24"/>
          <w:highlight w:val="none"/>
          <w:lang w:eastAsia="zh-CN"/>
        </w:rPr>
        <w:t>；每年开展春秋季传染病防治宣传及健康教育活动（必须进行肺结核病、艾滋病健康教育</w:t>
      </w:r>
      <w:r>
        <w:rPr>
          <w:rFonts w:hint="eastAsia" w:cs="Times New Roman" w:asciiTheme="minorEastAsia" w:hAnsiTheme="minorEastAsia" w:eastAsiaTheme="minorEastAsia"/>
          <w:color w:val="auto"/>
          <w:sz w:val="24"/>
          <w:szCs w:val="24"/>
          <w:highlight w:val="none"/>
        </w:rPr>
        <w:t>等</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6</w:t>
      </w:r>
      <w:r>
        <w:rPr>
          <w:rFonts w:hint="eastAsia" w:cs="Times New Roman" w:asciiTheme="minorEastAsia" w:hAnsiTheme="minorEastAsia" w:eastAsiaTheme="minorEastAsia"/>
          <w:color w:val="auto"/>
          <w:sz w:val="24"/>
          <w:szCs w:val="24"/>
          <w:highlight w:val="none"/>
        </w:rPr>
        <w:t>做好学生健康状况监测工作，建立学生健康卡片（档案）。并对此进行认真统计、分析、上报。并按省“学校卫生工作条例检查评估细则”建立健全档案资料。</w:t>
      </w:r>
    </w:p>
    <w:p>
      <w:pPr>
        <w:spacing w:line="500" w:lineRule="exact"/>
        <w:ind w:firstLine="435"/>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lang w:eastAsia="zh-CN"/>
        </w:rPr>
        <w:t>四、付款方式：</w:t>
      </w:r>
    </w:p>
    <w:p>
      <w:pPr>
        <w:spacing w:line="500" w:lineRule="exact"/>
        <w:ind w:firstLine="435"/>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eastAsia="zh-CN"/>
        </w:rPr>
        <w:t>按每年总中标价的十二分之一按月结算（人员工资）。下月</w:t>
      </w:r>
      <w:r>
        <w:rPr>
          <w:rFonts w:hint="eastAsia" w:cs="Times New Roman" w:asciiTheme="minorEastAsia" w:hAnsiTheme="minorEastAsia" w:eastAsiaTheme="minorEastAsia"/>
          <w:color w:val="auto"/>
          <w:sz w:val="24"/>
          <w:szCs w:val="24"/>
          <w:highlight w:val="none"/>
          <w:lang w:val="en-US" w:eastAsia="zh-CN"/>
        </w:rPr>
        <w:t>10日前支付上月工资并开具发票。</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eastAsia="zh-CN"/>
        </w:rPr>
        <w:t>五</w:t>
      </w:r>
      <w:r>
        <w:rPr>
          <w:rFonts w:hint="eastAsia" w:cs="Times New Roman" w:asciiTheme="minorEastAsia" w:hAnsiTheme="minorEastAsia" w:eastAsiaTheme="minorEastAsia"/>
          <w:color w:val="auto"/>
          <w:sz w:val="24"/>
          <w:szCs w:val="24"/>
          <w:highlight w:val="none"/>
        </w:rPr>
        <w:t>、合同期满，乙方应无条件向甲方移交学生健康档案。乙方应保证甲方资产处于良好使用状态。</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eastAsia="zh-CN"/>
        </w:rPr>
        <w:t>六</w:t>
      </w:r>
      <w:r>
        <w:rPr>
          <w:rFonts w:hint="eastAsia" w:cs="Times New Roman" w:asciiTheme="minorEastAsia" w:hAnsiTheme="minorEastAsia" w:eastAsiaTheme="minorEastAsia"/>
          <w:color w:val="auto"/>
          <w:sz w:val="24"/>
          <w:szCs w:val="24"/>
          <w:highlight w:val="none"/>
        </w:rPr>
        <w:t>、合</w:t>
      </w:r>
      <w:r>
        <w:rPr>
          <w:rFonts w:hint="eastAsia" w:cs="Times New Roman" w:asciiTheme="minorEastAsia" w:hAnsiTheme="minorEastAsia" w:eastAsiaTheme="minorEastAsia"/>
          <w:color w:val="auto"/>
          <w:sz w:val="24"/>
          <w:szCs w:val="24"/>
          <w:highlight w:val="none"/>
          <w:lang w:eastAsia="zh-CN"/>
        </w:rPr>
        <w:t>同</w:t>
      </w:r>
      <w:r>
        <w:rPr>
          <w:rFonts w:hint="eastAsia" w:cs="Times New Roman" w:asciiTheme="minorEastAsia" w:hAnsiTheme="minorEastAsia" w:eastAsiaTheme="minorEastAsia"/>
          <w:color w:val="auto"/>
          <w:sz w:val="24"/>
          <w:szCs w:val="24"/>
          <w:highlight w:val="none"/>
        </w:rPr>
        <w:t>期内</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甲、乙双方应严格遵守承诺，如若违约，应给</w:t>
      </w:r>
      <w:r>
        <w:rPr>
          <w:rFonts w:hint="eastAsia" w:cs="Times New Roman" w:asciiTheme="minorEastAsia" w:hAnsiTheme="minorEastAsia" w:eastAsiaTheme="minorEastAsia"/>
          <w:color w:val="auto"/>
          <w:sz w:val="24"/>
          <w:szCs w:val="24"/>
          <w:highlight w:val="none"/>
          <w:lang w:eastAsia="zh-CN"/>
        </w:rPr>
        <w:t>预</w:t>
      </w:r>
      <w:r>
        <w:rPr>
          <w:rFonts w:hint="eastAsia" w:cs="Times New Roman" w:asciiTheme="minorEastAsia" w:hAnsiTheme="minorEastAsia" w:eastAsiaTheme="minorEastAsia"/>
          <w:color w:val="auto"/>
          <w:sz w:val="24"/>
          <w:szCs w:val="24"/>
          <w:highlight w:val="none"/>
        </w:rPr>
        <w:t>对方五</w:t>
      </w:r>
      <w:r>
        <w:rPr>
          <w:rFonts w:hint="eastAsia" w:cs="Times New Roman" w:asciiTheme="minorEastAsia" w:hAnsiTheme="minorEastAsia" w:eastAsiaTheme="minorEastAsia"/>
          <w:color w:val="auto"/>
          <w:sz w:val="24"/>
          <w:szCs w:val="24"/>
          <w:highlight w:val="none"/>
          <w:lang w:eastAsia="zh-CN"/>
        </w:rPr>
        <w:t>仟</w:t>
      </w:r>
      <w:r>
        <w:rPr>
          <w:rFonts w:hint="eastAsia" w:cs="Times New Roman" w:asciiTheme="minorEastAsia" w:hAnsiTheme="minorEastAsia" w:eastAsiaTheme="minorEastAsia"/>
          <w:color w:val="auto"/>
          <w:sz w:val="24"/>
          <w:szCs w:val="24"/>
          <w:highlight w:val="none"/>
        </w:rPr>
        <w:t>至</w:t>
      </w:r>
      <w:r>
        <w:rPr>
          <w:rFonts w:hint="eastAsia" w:cs="Times New Roman" w:asciiTheme="minorEastAsia" w:hAnsiTheme="minorEastAsia" w:eastAsiaTheme="minorEastAsia"/>
          <w:color w:val="auto"/>
          <w:sz w:val="24"/>
          <w:szCs w:val="24"/>
          <w:highlight w:val="none"/>
          <w:lang w:eastAsia="zh-CN"/>
        </w:rPr>
        <w:t>壹</w:t>
      </w:r>
      <w:r>
        <w:rPr>
          <w:rFonts w:hint="eastAsia" w:cs="Times New Roman" w:asciiTheme="minorEastAsia" w:hAnsiTheme="minorEastAsia" w:eastAsiaTheme="minorEastAsia"/>
          <w:color w:val="auto"/>
          <w:sz w:val="24"/>
          <w:szCs w:val="24"/>
          <w:highlight w:val="none"/>
        </w:rPr>
        <w:t>万元赔偿。</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eastAsia="zh-CN"/>
        </w:rPr>
        <w:t>八、</w:t>
      </w:r>
      <w:r>
        <w:rPr>
          <w:rFonts w:hint="eastAsia" w:cs="Times New Roman" w:asciiTheme="minorEastAsia" w:hAnsiTheme="minorEastAsia" w:eastAsiaTheme="minorEastAsia"/>
          <w:color w:val="auto"/>
          <w:sz w:val="24"/>
          <w:szCs w:val="24"/>
          <w:highlight w:val="none"/>
        </w:rPr>
        <w:t>合同未尽事宜，双方协商解决。</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eastAsia="zh-CN"/>
        </w:rPr>
        <w:t>九</w:t>
      </w:r>
      <w:r>
        <w:rPr>
          <w:rFonts w:hint="eastAsia" w:cs="Times New Roman" w:asciiTheme="minorEastAsia" w:hAnsiTheme="minorEastAsia" w:eastAsiaTheme="minorEastAsia"/>
          <w:color w:val="auto"/>
          <w:sz w:val="24"/>
          <w:szCs w:val="24"/>
          <w:highlight w:val="none"/>
        </w:rPr>
        <w:t>、合同有效期</w:t>
      </w:r>
      <w:r>
        <w:rPr>
          <w:rFonts w:hint="eastAsia" w:cs="Times New Roman" w:asciiTheme="minorEastAsia" w:hAnsiTheme="minorEastAsia" w:eastAsiaTheme="minorEastAsia"/>
          <w:color w:val="auto"/>
          <w:sz w:val="24"/>
          <w:szCs w:val="24"/>
          <w:highlight w:val="none"/>
          <w:lang w:eastAsia="zh-CN"/>
        </w:rPr>
        <w:t>二</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lang w:eastAsia="zh-CN"/>
        </w:rPr>
        <w:t>（合同生效时间为：自乙方办好所有证件，正常营业服务开始）</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lang w:eastAsia="zh-CN"/>
        </w:rPr>
        <w:t>即</w:t>
      </w:r>
      <w:r>
        <w:rPr>
          <w:rFonts w:hint="eastAsia" w:cs="Times New Roman" w:asciiTheme="minorEastAsia" w:hAnsiTheme="minorEastAsia" w:eastAsiaTheme="minorEastAsia"/>
          <w:color w:val="auto"/>
          <w:sz w:val="24"/>
          <w:szCs w:val="24"/>
          <w:highlight w:val="none"/>
        </w:rPr>
        <w:t xml:space="preserve">自     年  </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rPr>
        <w:t>月   日起至   年   月   日</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rPr>
        <w:t>止</w:t>
      </w:r>
      <w:r>
        <w:rPr>
          <w:rFonts w:hint="eastAsia" w:cs="Times New Roman" w:asciiTheme="minorEastAsia" w:hAnsiTheme="minorEastAsia" w:eastAsiaTheme="minorEastAsia"/>
          <w:color w:val="auto"/>
          <w:sz w:val="24"/>
          <w:szCs w:val="24"/>
          <w:highlight w:val="none"/>
          <w:lang w:eastAsia="zh-CN"/>
        </w:rPr>
        <w:t>（具体服务人员工资支付，从医疗服务许可证颁发日的下月</w:t>
      </w:r>
      <w:r>
        <w:rPr>
          <w:rFonts w:hint="eastAsia" w:cs="Times New Roman" w:asciiTheme="minorEastAsia" w:hAnsiTheme="minorEastAsia" w:eastAsiaTheme="minorEastAsia"/>
          <w:color w:val="auto"/>
          <w:sz w:val="24"/>
          <w:szCs w:val="24"/>
          <w:highlight w:val="none"/>
          <w:lang w:val="en-US" w:eastAsia="zh-CN"/>
        </w:rPr>
        <w:t>10</w:t>
      </w:r>
      <w:r>
        <w:rPr>
          <w:rFonts w:hint="eastAsia" w:cs="Times New Roman" w:asciiTheme="minorEastAsia" w:hAnsiTheme="minorEastAsia" w:eastAsiaTheme="minorEastAsia"/>
          <w:color w:val="auto"/>
          <w:sz w:val="24"/>
          <w:szCs w:val="24"/>
          <w:highlight w:val="none"/>
          <w:lang w:eastAsia="zh-CN"/>
        </w:rPr>
        <w:t>起支付）</w:t>
      </w:r>
      <w:r>
        <w:rPr>
          <w:rFonts w:hint="eastAsia" w:cs="Times New Roman" w:asciiTheme="minorEastAsia" w:hAnsiTheme="minorEastAsia" w:eastAsiaTheme="minorEastAsia"/>
          <w:color w:val="auto"/>
          <w:sz w:val="24"/>
          <w:szCs w:val="24"/>
          <w:highlight w:val="none"/>
        </w:rPr>
        <w:t>。</w:t>
      </w: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eastAsia="zh-CN"/>
        </w:rPr>
        <w:t>十</w:t>
      </w:r>
      <w:r>
        <w:rPr>
          <w:rFonts w:hint="eastAsia" w:cs="Times New Roman" w:asciiTheme="minorEastAsia" w:hAnsiTheme="minorEastAsia" w:eastAsiaTheme="minorEastAsia"/>
          <w:color w:val="auto"/>
          <w:sz w:val="24"/>
          <w:szCs w:val="24"/>
          <w:highlight w:val="none"/>
        </w:rPr>
        <w:t>、本合同一式四份，双方各执两份，自签字之日起生效。</w:t>
      </w:r>
    </w:p>
    <w:p>
      <w:pPr>
        <w:spacing w:line="500" w:lineRule="exact"/>
        <w:ind w:firstLine="435"/>
        <w:rPr>
          <w:rFonts w:hint="eastAsia" w:cs="Times New Roman" w:asciiTheme="minorEastAsia" w:hAnsiTheme="minorEastAsia" w:eastAsiaTheme="minorEastAsia"/>
          <w:color w:val="auto"/>
          <w:sz w:val="24"/>
          <w:szCs w:val="24"/>
          <w:highlight w:val="none"/>
        </w:rPr>
      </w:pP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甲方（盖章）：                             乙方（盖章）：</w:t>
      </w:r>
    </w:p>
    <w:p>
      <w:pPr>
        <w:spacing w:line="500" w:lineRule="exact"/>
        <w:ind w:firstLine="435"/>
        <w:rPr>
          <w:rFonts w:hint="eastAsia" w:cs="Times New Roman" w:asciiTheme="minorEastAsia" w:hAnsiTheme="minorEastAsia" w:eastAsiaTheme="minorEastAsia"/>
          <w:color w:val="auto"/>
          <w:sz w:val="24"/>
          <w:szCs w:val="24"/>
          <w:highlight w:val="none"/>
        </w:rPr>
      </w:pP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甲方代表签字：                           乙方代表签字：</w:t>
      </w:r>
    </w:p>
    <w:p>
      <w:pPr>
        <w:spacing w:line="500" w:lineRule="exact"/>
        <w:ind w:firstLine="435"/>
        <w:rPr>
          <w:rFonts w:hint="eastAsia" w:cs="Times New Roman" w:asciiTheme="minorEastAsia" w:hAnsiTheme="minorEastAsia" w:eastAsiaTheme="minorEastAsia"/>
          <w:color w:val="auto"/>
          <w:sz w:val="24"/>
          <w:szCs w:val="24"/>
          <w:highlight w:val="none"/>
        </w:rPr>
      </w:pPr>
    </w:p>
    <w:p>
      <w:pPr>
        <w:spacing w:line="500" w:lineRule="exact"/>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年     月     日                       年     月     日</w:t>
      </w:r>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r>
        <w:rPr>
          <w:rFonts w:hint="eastAsia" w:asciiTheme="minorEastAsia" w:hAnsiTheme="minorEastAsia" w:eastAsiaTheme="minorEastAsia"/>
          <w:b/>
          <w:color w:val="auto"/>
          <w:sz w:val="24"/>
          <w:highlight w:val="none"/>
        </w:rPr>
        <w:t>第</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63"/>
    </w:p>
    <w:p>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3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pPr>
              <w:spacing w:line="560" w:lineRule="exact"/>
              <w:rPr>
                <w:rFonts w:cs="Times New Roman" w:asciiTheme="minorEastAsia" w:hAnsiTheme="minorEastAsia"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pPr>
              <w:spacing w:line="560" w:lineRule="exact"/>
              <w:rPr>
                <w:rFonts w:cs="Times New Roman" w:asciiTheme="minorEastAsia" w:hAnsiTheme="minorEastAsia"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pPr>
              <w:spacing w:line="560" w:lineRule="exact"/>
              <w:rPr>
                <w:rFonts w:cs="Times New Roman" w:asciiTheme="minorEastAsia" w:hAnsiTheme="minorEastAsia"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pPr>
              <w:spacing w:line="560" w:lineRule="exact"/>
              <w:rPr>
                <w:rFonts w:cs="Times New Roman" w:asciiTheme="minorEastAsia" w:hAnsiTheme="minorEastAsia"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pPr>
              <w:spacing w:line="560" w:lineRule="exact"/>
              <w:rPr>
                <w:rFonts w:cs="Times New Roman" w:asciiTheme="minorEastAsia" w:hAnsiTheme="minorEastAsia" w:eastAsiaTheme="minorEastAsia"/>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pPr>
              <w:spacing w:line="560" w:lineRule="exact"/>
              <w:rPr>
                <w:rFonts w:cs="Times New Roman" w:asciiTheme="minorEastAsia" w:hAnsiTheme="minorEastAsia"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pPr>
              <w:spacing w:line="560" w:lineRule="exact"/>
              <w:rPr>
                <w:rFonts w:cs="Times New Roman" w:asciiTheme="minorEastAsia" w:hAnsiTheme="minorEastAsia" w:eastAsiaTheme="minorEastAsia"/>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pPr>
              <w:spacing w:line="560" w:lineRule="exact"/>
              <w:rPr>
                <w:rFonts w:cs="Times New Roman" w:asciiTheme="minorEastAsia" w:hAnsiTheme="minorEastAsia"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pPr>
              <w:spacing w:line="560" w:lineRule="exact"/>
              <w:rPr>
                <w:rFonts w:cs="Times New Roman" w:asciiTheme="minorEastAsia" w:hAnsiTheme="minorEastAsia"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pPr>
              <w:spacing w:line="560" w:lineRule="exact"/>
              <w:rPr>
                <w:rFonts w:cs="Times New Roman" w:asciiTheme="minorEastAsia" w:hAnsiTheme="minorEastAsia"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cs="Times New Roman" w:asciiTheme="minorEastAsia" w:hAnsiTheme="minorEastAsia"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cs="Times New Roman" w:asciiTheme="minorEastAsia" w:hAnsiTheme="minorEastAsia" w:eastAsiaTheme="minorEastAsia"/>
                <w:color w:val="auto"/>
                <w:sz w:val="24"/>
                <w:szCs w:val="24"/>
                <w:highlight w:val="none"/>
              </w:rPr>
            </w:pPr>
          </w:p>
        </w:tc>
      </w:tr>
    </w:tbl>
    <w:p>
      <w:pPr>
        <w:spacing w:line="360" w:lineRule="auto"/>
        <w:rPr>
          <w:rFonts w:asciiTheme="minorEastAsia" w:hAnsiTheme="minorEastAsia" w:eastAsiaTheme="minorEastAsia"/>
          <w:color w:val="auto"/>
          <w:sz w:val="24"/>
          <w:highlight w:val="none"/>
        </w:rPr>
      </w:pP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59"/>
    <w:p>
      <w:pPr>
        <w:spacing w:line="360" w:lineRule="auto"/>
        <w:jc w:val="center"/>
        <w:outlineLvl w:val="0"/>
        <w:rPr>
          <w:rFonts w:asciiTheme="minorEastAsia" w:hAnsiTheme="minorEastAsia" w:eastAsiaTheme="minorEastAsia"/>
          <w:b/>
          <w:color w:val="auto"/>
          <w:sz w:val="28"/>
          <w:highlight w:val="none"/>
        </w:rPr>
      </w:pPr>
      <w:bookmarkStart w:id="64" w:name="_Toc13555"/>
      <w:r>
        <w:rPr>
          <w:rFonts w:hint="eastAsia" w:asciiTheme="minorEastAsia" w:hAnsiTheme="minorEastAsia" w:eastAsiaTheme="minorEastAsia"/>
          <w:b/>
          <w:color w:val="auto"/>
          <w:sz w:val="28"/>
          <w:highlight w:val="none"/>
        </w:rPr>
        <w:t>第六章  投标文件格式</w:t>
      </w:r>
      <w:bookmarkEnd w:id="64"/>
    </w:p>
    <w:p>
      <w:pPr>
        <w:jc w:val="center"/>
        <w:rPr>
          <w:rFonts w:ascii="宋体" w:hAnsi="宋体"/>
          <w:b/>
          <w:color w:val="auto"/>
          <w:sz w:val="28"/>
          <w:szCs w:val="28"/>
          <w:highlight w:val="none"/>
        </w:rPr>
      </w:pPr>
    </w:p>
    <w:p>
      <w:pPr>
        <w:jc w:val="center"/>
        <w:rPr>
          <w:rFonts w:ascii="宋体" w:hAnsi="宋体"/>
          <w:b/>
          <w:color w:val="auto"/>
          <w:sz w:val="28"/>
          <w:szCs w:val="28"/>
          <w:highlight w:val="none"/>
          <w:bdr w:val="single" w:color="000000" w:sz="4" w:space="0"/>
        </w:rPr>
      </w:pPr>
      <w:r>
        <w:rPr>
          <w:rFonts w:hint="eastAsia" w:ascii="宋体" w:hAnsi="宋体"/>
          <w:b/>
          <w:color w:val="auto"/>
          <w:sz w:val="28"/>
          <w:szCs w:val="28"/>
          <w:highlight w:val="none"/>
        </w:rPr>
        <w:t>一、资信证明格式文件</w:t>
      </w:r>
    </w:p>
    <w:p>
      <w:pPr>
        <w:jc w:val="center"/>
        <w:rPr>
          <w:rFonts w:eastAsia="黑体"/>
          <w:color w:val="auto"/>
          <w:sz w:val="20"/>
          <w:highlight w:val="none"/>
        </w:rPr>
      </w:pPr>
    </w:p>
    <w:p>
      <w:pPr>
        <w:rPr>
          <w:rFonts w:eastAsia="黑体"/>
          <w:color w:val="auto"/>
          <w:sz w:val="20"/>
          <w:highlight w:val="none"/>
        </w:rPr>
      </w:pPr>
    </w:p>
    <w:p>
      <w:pPr>
        <w:jc w:val="center"/>
        <w:rPr>
          <w:rFonts w:ascii="宋体"/>
          <w:b/>
          <w:color w:val="auto"/>
          <w:sz w:val="44"/>
          <w:szCs w:val="44"/>
          <w:highlight w:val="none"/>
        </w:rPr>
      </w:pPr>
      <w:bookmarkStart w:id="65" w:name="_Toc350698753"/>
      <w:bookmarkStart w:id="66" w:name="_Toc449028949"/>
      <w:r>
        <w:rPr>
          <w:rFonts w:hint="eastAsia" w:ascii="宋体"/>
          <w:b/>
          <w:color w:val="auto"/>
          <w:sz w:val="44"/>
          <w:szCs w:val="44"/>
          <w:highlight w:val="none"/>
        </w:rPr>
        <w:t>资信证明文件</w:t>
      </w:r>
      <w:bookmarkEnd w:id="65"/>
      <w:bookmarkEnd w:id="66"/>
    </w:p>
    <w:p>
      <w:pPr>
        <w:jc w:val="center"/>
        <w:rPr>
          <w:rFonts w:ascii="宋体"/>
          <w:color w:val="auto"/>
          <w:sz w:val="32"/>
          <w:szCs w:val="32"/>
          <w:highlight w:val="none"/>
        </w:rPr>
      </w:pPr>
      <w:r>
        <w:rPr>
          <w:rFonts w:hint="eastAsia" w:ascii="宋体"/>
          <w:color w:val="auto"/>
          <w:sz w:val="32"/>
          <w:szCs w:val="32"/>
          <w:highlight w:val="none"/>
        </w:rPr>
        <w:t>（投标文件一）</w:t>
      </w:r>
    </w:p>
    <w:p>
      <w:pPr>
        <w:jc w:val="center"/>
        <w:rPr>
          <w:rFonts w:eastAsia="黑体"/>
          <w:color w:val="auto"/>
          <w:sz w:val="44"/>
          <w:szCs w:val="44"/>
          <w:highlight w:val="none"/>
        </w:rPr>
      </w:pPr>
    </w:p>
    <w:p>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w:t>
      </w:r>
      <w:r>
        <w:rPr>
          <w:rFonts w:hint="eastAsia" w:ascii="宋体"/>
          <w:color w:val="auto"/>
          <w:sz w:val="28"/>
          <w:szCs w:val="28"/>
          <w:highlight w:val="none"/>
          <w:lang w:val="en-US" w:eastAsia="zh-CN"/>
        </w:rPr>
        <w:t>字或盖</w:t>
      </w:r>
      <w:r>
        <w:rPr>
          <w:rFonts w:hint="eastAsia" w:ascii="宋体"/>
          <w:color w:val="auto"/>
          <w:sz w:val="28"/>
          <w:szCs w:val="28"/>
          <w:highlight w:val="none"/>
        </w:rPr>
        <w:t>章）</w:t>
      </w:r>
    </w:p>
    <w:p>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pPr>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pPr>
        <w:spacing w:line="400" w:lineRule="exact"/>
        <w:ind w:firstLine="562" w:firstLineChars="2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（1）投标人资格声明书（格式见附件）；</w:t>
      </w:r>
    </w:p>
    <w:p>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（2）授权书（格式见附件）；   </w:t>
      </w:r>
    </w:p>
    <w:p>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（3）投标人为企业（包括合伙企业）的，应提供有效的“营业执照”；</w:t>
      </w:r>
    </w:p>
    <w:p>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（4）诚信投标承诺书（格式见附件）；</w:t>
      </w:r>
    </w:p>
    <w:p>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（5）招标文件中要求的资信评审和资信评分的支持资料；</w:t>
      </w:r>
    </w:p>
    <w:p>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（6）投标人认为需要提供的其他资信证明材料；</w:t>
      </w:r>
    </w:p>
    <w:p>
      <w:pPr>
        <w:spacing w:line="500" w:lineRule="exact"/>
        <w:jc w:val="left"/>
        <w:rPr>
          <w:rFonts w:ascii="宋体" w:hAnsi="宋体" w:eastAsia="宋体" w:cs="宋体"/>
          <w:color w:val="auto"/>
          <w:szCs w:val="21"/>
          <w:highlight w:val="none"/>
        </w:rPr>
      </w:pPr>
    </w:p>
    <w:p>
      <w:pPr>
        <w:spacing w:line="360" w:lineRule="auto"/>
        <w:ind w:firstLine="420" w:firstLineChars="200"/>
        <w:rPr>
          <w:rFonts w:ascii="宋体" w:hAnsi="宋体" w:eastAsia="宋体" w:cs="宋体"/>
          <w:color w:val="auto"/>
          <w:szCs w:val="21"/>
          <w:highlight w:val="none"/>
        </w:rPr>
      </w:pPr>
    </w:p>
    <w:p>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（1）投标人资格声明书 </w:t>
      </w:r>
    </w:p>
    <w:p>
      <w:pPr>
        <w:pStyle w:val="19"/>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在参与本次项目投标中，我单位承诺：</w:t>
      </w:r>
    </w:p>
    <w:p>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（一）具有良好的商业信誉和健全的财务会计制度；</w:t>
      </w:r>
    </w:p>
    <w:p>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（二）具有履行合同所必需的设备和专业技术能力；</w:t>
      </w:r>
    </w:p>
    <w:p>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（三）有依法缴纳税收和社会保障资金的良好记录；</w:t>
      </w:r>
    </w:p>
    <w:p>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（五）我单位不属于政府采购法律、行政法规规定的公益一类事业单位、或使用事业编制且由财政拨款保障的群团组织（仅适用于政府购买服务项目）； </w:t>
      </w:r>
    </w:p>
    <w:p>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（六）我单位不存在为采购项目提供整体设计、规范编制或者项目管理、监理、检测等服务后，再参加该采购项目的其他采购活动的情形（单一来源采购项目除外）；</w:t>
      </w:r>
    </w:p>
    <w:p>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（七）与我单位存在单位负责人为同一人或者存在直接控股、管理关系的其他法人单位信息如下（如有，不论其是否参加同一合同项下的政府采购活动均须填写）：</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beforeLines="50" w:after="1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2841" w:type="dxa"/>
          </w:tcPr>
          <w:p>
            <w:pPr>
              <w:pStyle w:val="12"/>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单位名称</w:t>
            </w:r>
          </w:p>
        </w:tc>
        <w:tc>
          <w:tcPr>
            <w:tcW w:w="2841" w:type="dxa"/>
          </w:tcPr>
          <w:p>
            <w:pPr>
              <w:pStyle w:val="12"/>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2"/>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1</w:t>
            </w:r>
          </w:p>
        </w:tc>
        <w:tc>
          <w:tcPr>
            <w:tcW w:w="2841" w:type="dxa"/>
          </w:tcPr>
          <w:p>
            <w:pPr>
              <w:pStyle w:val="12"/>
              <w:spacing w:beforeLines="50" w:after="10"/>
              <w:jc w:val="center"/>
              <w:rPr>
                <w:rFonts w:asciiTheme="minorEastAsia" w:hAnsiTheme="minorEastAsia" w:eastAsiaTheme="minorEastAsia" w:cstheme="minorEastAsia"/>
                <w:color w:val="auto"/>
                <w:kern w:val="0"/>
                <w:sz w:val="24"/>
                <w:highlight w:val="none"/>
                <w:lang w:val="en-US"/>
              </w:rPr>
            </w:pPr>
          </w:p>
        </w:tc>
        <w:tc>
          <w:tcPr>
            <w:tcW w:w="2841" w:type="dxa"/>
          </w:tcPr>
          <w:p>
            <w:pPr>
              <w:pStyle w:val="12"/>
              <w:spacing w:beforeLines="50" w:after="10"/>
              <w:jc w:val="center"/>
              <w:rPr>
                <w:rFonts w:asciiTheme="minorEastAsia" w:hAnsiTheme="minorEastAsia" w:eastAsiaTheme="minorEastAsia" w:cstheme="minorEastAsia"/>
                <w:color w:val="auto"/>
                <w:kern w:val="0"/>
                <w:sz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2"/>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2</w:t>
            </w:r>
          </w:p>
        </w:tc>
        <w:tc>
          <w:tcPr>
            <w:tcW w:w="2841" w:type="dxa"/>
          </w:tcPr>
          <w:p>
            <w:pPr>
              <w:pStyle w:val="12"/>
              <w:spacing w:beforeLines="50" w:after="10"/>
              <w:jc w:val="center"/>
              <w:rPr>
                <w:rFonts w:asciiTheme="minorEastAsia" w:hAnsiTheme="minorEastAsia" w:eastAsiaTheme="minorEastAsia" w:cstheme="minorEastAsia"/>
                <w:color w:val="auto"/>
                <w:kern w:val="0"/>
                <w:sz w:val="24"/>
                <w:highlight w:val="none"/>
                <w:lang w:val="en-US"/>
              </w:rPr>
            </w:pPr>
          </w:p>
        </w:tc>
        <w:tc>
          <w:tcPr>
            <w:tcW w:w="2841" w:type="dxa"/>
          </w:tcPr>
          <w:p>
            <w:pPr>
              <w:pStyle w:val="12"/>
              <w:spacing w:beforeLines="50" w:after="10"/>
              <w:jc w:val="center"/>
              <w:rPr>
                <w:rFonts w:asciiTheme="minorEastAsia" w:hAnsiTheme="minorEastAsia" w:eastAsiaTheme="minorEastAsia" w:cstheme="minorEastAsia"/>
                <w:color w:val="auto"/>
                <w:kern w:val="0"/>
                <w:sz w:val="24"/>
                <w:highlight w:val="none"/>
                <w:lang w:val="en-US"/>
              </w:rPr>
            </w:pPr>
          </w:p>
        </w:tc>
      </w:tr>
    </w:tbl>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pPr>
        <w:spacing w:line="360" w:lineRule="auto"/>
        <w:ind w:firstLine="420" w:firstLineChars="200"/>
        <w:rPr>
          <w:rFonts w:ascii="宋体" w:hAnsi="宋体" w:eastAsia="宋体" w:cs="宋体"/>
          <w:color w:val="auto"/>
          <w:szCs w:val="21"/>
          <w:highlight w:val="none"/>
        </w:rPr>
      </w:pPr>
    </w:p>
    <w:p>
      <w:pPr>
        <w:spacing w:line="360" w:lineRule="auto"/>
        <w:ind w:firstLine="420" w:firstLineChars="200"/>
        <w:rPr>
          <w:rFonts w:ascii="宋体" w:hAnsi="宋体" w:eastAsia="宋体" w:cs="宋体"/>
          <w:color w:val="auto"/>
          <w:szCs w:val="21"/>
          <w:highlight w:val="none"/>
        </w:rPr>
      </w:pPr>
    </w:p>
    <w:p>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spacing w:line="360" w:lineRule="auto"/>
        <w:jc w:val="center"/>
        <w:outlineLvl w:val="1"/>
        <w:rPr>
          <w:rFonts w:asciiTheme="minorEastAsia" w:hAnsiTheme="minorEastAsia" w:eastAsiaTheme="minorEastAsia"/>
          <w:b/>
          <w:color w:val="auto"/>
          <w:sz w:val="24"/>
          <w:highlight w:val="none"/>
        </w:rPr>
      </w:pPr>
      <w:r>
        <w:rPr>
          <w:rFonts w:hint="eastAsia" w:ascii="宋体" w:hAnsi="宋体" w:eastAsia="宋体" w:cs="宋体"/>
          <w:color w:val="auto"/>
          <w:szCs w:val="21"/>
          <w:highlight w:val="none"/>
        </w:rPr>
        <w:t>（2）</w:t>
      </w:r>
      <w:r>
        <w:rPr>
          <w:rFonts w:hint="eastAsia" w:asciiTheme="minorEastAsia" w:hAnsiTheme="minorEastAsia" w:eastAsiaTheme="minorEastAsia"/>
          <w:b/>
          <w:color w:val="auto"/>
          <w:sz w:val="24"/>
          <w:highlight w:val="none"/>
        </w:rPr>
        <w:t>授权书</w:t>
      </w:r>
    </w:p>
    <w:p>
      <w:pPr>
        <w:pStyle w:val="18"/>
        <w:snapToGrid w:val="0"/>
        <w:spacing w:line="360" w:lineRule="auto"/>
        <w:ind w:firstLine="480" w:firstLineChars="200"/>
        <w:jc w:val="left"/>
        <w:rPr>
          <w:rFonts w:hAnsi="宋体" w:eastAsia="宋体"/>
          <w:color w:val="auto"/>
          <w:sz w:val="24"/>
          <w:szCs w:val="28"/>
          <w:highlight w:val="none"/>
        </w:rPr>
      </w:pPr>
    </w:p>
    <w:p>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pPr>
        <w:spacing w:line="360" w:lineRule="auto"/>
        <w:ind w:firstLine="435"/>
        <w:rPr>
          <w:rFonts w:hAnsi="宋体" w:eastAsia="宋体"/>
          <w:color w:val="auto"/>
          <w:sz w:val="24"/>
          <w:szCs w:val="28"/>
          <w:highlight w:val="none"/>
          <w:lang w:val="zh-CN"/>
        </w:rPr>
      </w:pPr>
    </w:p>
    <w:p>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pPr>
        <w:spacing w:line="360" w:lineRule="auto"/>
        <w:rPr>
          <w:rFonts w:ascii="宋体" w:hAnsi="宋体" w:eastAsia="宋体"/>
          <w:color w:val="auto"/>
          <w:sz w:val="24"/>
          <w:szCs w:val="28"/>
          <w:highlight w:val="none"/>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pPr>
        <w:spacing w:line="360" w:lineRule="auto"/>
        <w:ind w:firstLine="420" w:firstLineChars="200"/>
        <w:rPr>
          <w:rFonts w:ascii="宋体" w:hAnsi="宋体" w:eastAsia="宋体" w:cs="宋体"/>
          <w:color w:val="auto"/>
          <w:szCs w:val="21"/>
          <w:highlight w:val="none"/>
        </w:rPr>
      </w:pPr>
    </w:p>
    <w:p>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（3）诚信投标承诺书</w:t>
      </w:r>
    </w:p>
    <w:p>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-6项信誉要求，在此一并承诺我公司所属分公司、办事处等分支机构没有上述1-6项情形）</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七、我公司没有下列情形：被滁州市县两级公管部门记入不良行为记录且在披露期内。</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八、严格遵守开标现场纪律，服从监管人员管理；</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九、保证中标后不转包，若有分包征得招标人同意；</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十、保证中标之后，按照投标文件要求提供相关后续服务；</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十一、保证企业及所属相关人员在本次投标中无行贿等犯罪行为；</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w:t>
      </w:r>
      <w:r>
        <w:rPr>
          <w:rFonts w:hint="eastAsia" w:ascii="宋体" w:hAnsi="宋体" w:eastAsia="宋体" w:cs="宋体"/>
          <w:color w:val="auto"/>
          <w:szCs w:val="21"/>
          <w:highlight w:val="none"/>
          <w:lang w:val="en-US" w:eastAsia="zh-CN"/>
        </w:rPr>
        <w:t>盖</w:t>
      </w:r>
      <w:r>
        <w:rPr>
          <w:rFonts w:hint="eastAsia" w:ascii="宋体" w:hAnsi="宋体" w:eastAsia="宋体" w:cs="宋体"/>
          <w:color w:val="auto"/>
          <w:szCs w:val="21"/>
          <w:highlight w:val="none"/>
        </w:rPr>
        <w:t>章）：              法定代表人（签</w:t>
      </w:r>
      <w:r>
        <w:rPr>
          <w:rFonts w:hint="eastAsia" w:ascii="宋体" w:hAnsi="宋体" w:eastAsia="宋体" w:cs="宋体"/>
          <w:color w:val="auto"/>
          <w:szCs w:val="21"/>
          <w:highlight w:val="none"/>
          <w:lang w:val="en-US" w:eastAsia="zh-CN"/>
        </w:rPr>
        <w:t>字或盖</w:t>
      </w:r>
      <w:r>
        <w:rPr>
          <w:rFonts w:hint="eastAsia" w:ascii="宋体" w:hAnsi="宋体" w:eastAsia="宋体" w:cs="宋体"/>
          <w:color w:val="auto"/>
          <w:szCs w:val="21"/>
          <w:highlight w:val="none"/>
        </w:rPr>
        <w:t>章）：</w:t>
      </w:r>
    </w:p>
    <w:p>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widowControl/>
        <w:jc w:val="left"/>
        <w:rPr>
          <w:rFonts w:asciiTheme="minorEastAsia" w:hAnsiTheme="minorEastAsia" w:eastAsiaTheme="minorEastAsia"/>
          <w:b/>
          <w:color w:val="auto"/>
          <w:sz w:val="28"/>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p>
    <w:p>
      <w:pPr>
        <w:rPr>
          <w:rFonts w:asciiTheme="minorEastAsia" w:hAnsiTheme="minorEastAsia" w:eastAsiaTheme="minorEastAsia"/>
          <w:b/>
          <w:color w:val="auto"/>
          <w:sz w:val="24"/>
          <w:highlight w:val="none"/>
        </w:rPr>
      </w:pPr>
      <w:bookmarkStart w:id="67" w:name="_Toc28960"/>
      <w:bookmarkStart w:id="68" w:name="_Toc17986"/>
    </w:p>
    <w:p>
      <w:pPr>
        <w:pageBreakBefore/>
        <w:wordWrap w:val="0"/>
        <w:spacing w:before="100" w:beforeAutospacing="1" w:after="100" w:afterAutospacing="1"/>
        <w:jc w:val="center"/>
        <w:rPr>
          <w:rFonts w:ascii="宋体" w:hAnsi="宋体"/>
          <w:b/>
          <w:color w:val="auto"/>
          <w:sz w:val="28"/>
          <w:szCs w:val="28"/>
          <w:highlight w:val="none"/>
          <w:bdr w:val="single" w:color="000000" w:sz="4" w:space="0"/>
        </w:rPr>
      </w:pPr>
      <w:r>
        <w:rPr>
          <w:rFonts w:hint="eastAsia" w:ascii="宋体" w:hAnsi="宋体"/>
          <w:b/>
          <w:color w:val="auto"/>
          <w:sz w:val="28"/>
          <w:szCs w:val="28"/>
          <w:highlight w:val="none"/>
        </w:rPr>
        <w:t>二、技术标格式文件</w:t>
      </w:r>
    </w:p>
    <w:p>
      <w:pPr>
        <w:jc w:val="center"/>
        <w:rPr>
          <w:rFonts w:ascii="宋体"/>
          <w:b/>
          <w:color w:val="auto"/>
          <w:sz w:val="44"/>
          <w:szCs w:val="44"/>
          <w:highlight w:val="none"/>
        </w:rPr>
      </w:pPr>
      <w:bookmarkStart w:id="69" w:name="_Toc449028953"/>
      <w:bookmarkStart w:id="70" w:name="_Toc387149626"/>
    </w:p>
    <w:p>
      <w:pPr>
        <w:jc w:val="center"/>
        <w:rPr>
          <w:rFonts w:ascii="宋体"/>
          <w:b/>
          <w:color w:val="auto"/>
          <w:sz w:val="44"/>
          <w:szCs w:val="44"/>
          <w:highlight w:val="none"/>
        </w:rPr>
      </w:pPr>
      <w:r>
        <w:rPr>
          <w:rFonts w:hint="eastAsia" w:ascii="宋体"/>
          <w:b/>
          <w:color w:val="auto"/>
          <w:sz w:val="44"/>
          <w:szCs w:val="44"/>
          <w:highlight w:val="none"/>
        </w:rPr>
        <w:t>技术标</w:t>
      </w:r>
      <w:bookmarkEnd w:id="69"/>
      <w:bookmarkEnd w:id="70"/>
    </w:p>
    <w:p>
      <w:pPr>
        <w:jc w:val="center"/>
        <w:rPr>
          <w:rFonts w:ascii="宋体"/>
          <w:color w:val="auto"/>
          <w:sz w:val="32"/>
          <w:szCs w:val="32"/>
          <w:highlight w:val="none"/>
        </w:rPr>
      </w:pPr>
      <w:r>
        <w:rPr>
          <w:rFonts w:hint="eastAsia" w:ascii="宋体"/>
          <w:color w:val="auto"/>
          <w:sz w:val="32"/>
          <w:szCs w:val="32"/>
          <w:highlight w:val="none"/>
        </w:rPr>
        <w:t>（投标文件二）</w:t>
      </w:r>
    </w:p>
    <w:p>
      <w:pPr>
        <w:jc w:val="center"/>
        <w:rPr>
          <w:rFonts w:eastAsia="黑体"/>
          <w:color w:val="auto"/>
          <w:sz w:val="44"/>
          <w:szCs w:val="44"/>
          <w:highlight w:val="none"/>
        </w:rPr>
      </w:pPr>
    </w:p>
    <w:p>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pPr>
        <w:rPr>
          <w:rFonts w:ascii="宋体"/>
          <w:color w:val="auto"/>
          <w:sz w:val="28"/>
          <w:szCs w:val="28"/>
          <w:highlight w:val="none"/>
        </w:rPr>
      </w:pPr>
    </w:p>
    <w:p>
      <w:pPr>
        <w:rPr>
          <w:rFonts w:ascii="宋体"/>
          <w:color w:val="auto"/>
          <w:sz w:val="28"/>
          <w:szCs w:val="28"/>
          <w:highlight w:val="none"/>
        </w:rPr>
      </w:pPr>
    </w:p>
    <w:p>
      <w:pPr>
        <w:tabs>
          <w:tab w:val="left" w:pos="2579"/>
        </w:tabs>
        <w:rPr>
          <w:rFonts w:ascii="宋体"/>
          <w:color w:val="auto"/>
          <w:sz w:val="28"/>
          <w:szCs w:val="28"/>
          <w:highlight w:val="none"/>
        </w:rPr>
      </w:pPr>
      <w:r>
        <w:rPr>
          <w:rFonts w:ascii="宋体"/>
          <w:color w:val="auto"/>
          <w:sz w:val="28"/>
          <w:szCs w:val="28"/>
          <w:highlight w:val="none"/>
        </w:rPr>
        <w:tab/>
      </w: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w:t>
      </w:r>
      <w:r>
        <w:rPr>
          <w:rFonts w:hint="eastAsia" w:ascii="宋体"/>
          <w:color w:val="auto"/>
          <w:sz w:val="28"/>
          <w:szCs w:val="28"/>
          <w:highlight w:val="none"/>
          <w:lang w:val="en-US" w:eastAsia="zh-CN"/>
        </w:rPr>
        <w:t>字或盖</w:t>
      </w:r>
      <w:r>
        <w:rPr>
          <w:rFonts w:hint="eastAsia" w:ascii="宋体"/>
          <w:color w:val="auto"/>
          <w:sz w:val="28"/>
          <w:szCs w:val="28"/>
          <w:highlight w:val="none"/>
        </w:rPr>
        <w:t>章）</w:t>
      </w:r>
    </w:p>
    <w:p>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pPr>
        <w:rPr>
          <w:rFonts w:asciiTheme="minorEastAsia" w:hAnsiTheme="minorEastAsia" w:eastAsiaTheme="minorEastAsia"/>
          <w:b/>
          <w:color w:val="auto"/>
          <w:sz w:val="24"/>
          <w:highlight w:val="none"/>
        </w:rPr>
      </w:pPr>
    </w:p>
    <w:p>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pPr>
        <w:pageBreakBefore/>
        <w:spacing w:line="400" w:lineRule="exact"/>
        <w:jc w:val="center"/>
        <w:rPr>
          <w:b/>
          <w:color w:val="auto"/>
          <w:sz w:val="36"/>
          <w:szCs w:val="36"/>
          <w:highlight w:val="none"/>
        </w:rPr>
      </w:pPr>
      <w:r>
        <w:rPr>
          <w:rFonts w:hint="eastAsia"/>
          <w:b/>
          <w:color w:val="auto"/>
          <w:sz w:val="36"/>
          <w:szCs w:val="36"/>
          <w:highlight w:val="none"/>
        </w:rPr>
        <w:t>目   录</w:t>
      </w:r>
    </w:p>
    <w:p>
      <w:pPr>
        <w:spacing w:line="400" w:lineRule="exact"/>
        <w:rPr>
          <w:rFonts w:ascii="宋体"/>
          <w:color w:val="auto"/>
          <w:szCs w:val="21"/>
          <w:highlight w:val="none"/>
        </w:rPr>
      </w:pPr>
    </w:p>
    <w:p>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（2）服务方案：为本项目实施所采用的技术措施和实施方案等；</w:t>
      </w:r>
    </w:p>
    <w:p>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（3）诚信履约承诺函；</w:t>
      </w:r>
    </w:p>
    <w:p>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（4）招标文件技术标评审中要求提交的其他材料；</w:t>
      </w:r>
    </w:p>
    <w:p>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（5）招标文件中要求的技术标评审及技术标评分的支持资料；</w:t>
      </w:r>
    </w:p>
    <w:p>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（6）投标人认为需要提供的其他技术证明材料；</w:t>
      </w:r>
    </w:p>
    <w:p>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（7）其他（如有）。</w:t>
      </w:r>
    </w:p>
    <w:p>
      <w:pPr>
        <w:spacing w:line="500" w:lineRule="exact"/>
        <w:rPr>
          <w:rFonts w:ascii="宋体" w:hAnsi="宋体" w:eastAsia="宋体" w:cs="宋体"/>
          <w:b/>
          <w:color w:val="auto"/>
          <w:sz w:val="24"/>
          <w:szCs w:val="24"/>
          <w:highlight w:val="none"/>
        </w:rPr>
      </w:pPr>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r>
        <w:rPr>
          <w:rFonts w:hint="eastAsia" w:asciiTheme="minorEastAsia" w:hAnsiTheme="minorEastAsia" w:eastAsiaTheme="minorEastAsia"/>
          <w:b/>
          <w:color w:val="auto"/>
          <w:sz w:val="24"/>
          <w:highlight w:val="none"/>
        </w:rPr>
        <w:t>（1）投标响应表</w:t>
      </w:r>
    </w:p>
    <w:p>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032"/>
        <w:gridCol w:w="2649"/>
        <w:gridCol w:w="273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pPr>
              <w:pStyle w:val="1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pPr>
              <w:pStyle w:val="18"/>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pPr>
              <w:pStyle w:val="1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pPr>
              <w:pStyle w:val="1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pPr>
              <w:pStyle w:val="1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pPr>
              <w:jc w:val="center"/>
              <w:rPr>
                <w:rFonts w:asciiTheme="minorEastAsia" w:hAnsiTheme="minorEastAsia" w:eastAsiaTheme="minorEastAsia"/>
                <w:color w:val="auto"/>
                <w:sz w:val="24"/>
                <w:highlight w:val="none"/>
              </w:rPr>
            </w:pPr>
          </w:p>
        </w:tc>
        <w:tc>
          <w:tcPr>
            <w:tcW w:w="1510"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pPr>
              <w:jc w:val="center"/>
              <w:rPr>
                <w:rFonts w:asciiTheme="minorEastAsia" w:hAnsiTheme="minorEastAsia" w:eastAsiaTheme="minorEastAsia"/>
                <w:color w:val="auto"/>
                <w:sz w:val="24"/>
                <w:highlight w:val="none"/>
              </w:rPr>
            </w:pPr>
          </w:p>
        </w:tc>
        <w:tc>
          <w:tcPr>
            <w:tcW w:w="1510"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pPr>
              <w:jc w:val="center"/>
              <w:rPr>
                <w:rFonts w:asciiTheme="minorEastAsia" w:hAnsiTheme="minorEastAsia" w:eastAsiaTheme="minorEastAsia"/>
                <w:color w:val="auto"/>
                <w:sz w:val="24"/>
                <w:highlight w:val="none"/>
              </w:rPr>
            </w:pPr>
          </w:p>
        </w:tc>
        <w:tc>
          <w:tcPr>
            <w:tcW w:w="1510" w:type="pct"/>
            <w:vAlign w:val="center"/>
          </w:tcPr>
          <w:p>
            <w:pPr>
              <w:pStyle w:val="58"/>
              <w:jc w:val="center"/>
              <w:rPr>
                <w:rFonts w:asciiTheme="minorEastAsia" w:hAnsiTheme="minorEastAsia" w:eastAsiaTheme="minorEastAsia"/>
                <w:color w:val="auto"/>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pPr>
              <w:jc w:val="center"/>
              <w:rPr>
                <w:rFonts w:ascii="宋体" w:hAnsi="宋体" w:eastAsia="宋体"/>
                <w:color w:val="auto"/>
                <w:sz w:val="24"/>
                <w:highlight w:val="none"/>
              </w:rPr>
            </w:pPr>
          </w:p>
        </w:tc>
        <w:tc>
          <w:tcPr>
            <w:tcW w:w="1465" w:type="pct"/>
            <w:vAlign w:val="center"/>
          </w:tcPr>
          <w:p>
            <w:pPr>
              <w:jc w:val="center"/>
              <w:rPr>
                <w:rFonts w:asciiTheme="minorEastAsia" w:hAnsiTheme="minorEastAsia" w:eastAsiaTheme="minorEastAsia"/>
                <w:color w:val="auto"/>
                <w:sz w:val="24"/>
                <w:highlight w:val="none"/>
              </w:rPr>
            </w:pPr>
          </w:p>
        </w:tc>
        <w:tc>
          <w:tcPr>
            <w:tcW w:w="1510"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bl>
    <w:p>
      <w:pPr>
        <w:spacing w:line="360" w:lineRule="auto"/>
        <w:ind w:firstLine="4800" w:firstLineChars="2000"/>
        <w:rPr>
          <w:rFonts w:hint="eastAsia" w:ascii="宋体" w:hAnsi="宋体" w:eastAsia="宋体"/>
          <w:color w:val="auto"/>
          <w:sz w:val="24"/>
          <w:highlight w:val="none"/>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eastAsia="宋体"/>
          <w:b/>
          <w:color w:val="auto"/>
          <w:sz w:val="28"/>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pPr>
        <w:ind w:firstLine="480" w:firstLineChars="200"/>
        <w:rPr>
          <w:rFonts w:ascii="宋体"/>
          <w:color w:val="auto"/>
          <w:sz w:val="24"/>
          <w:highlight w:val="none"/>
        </w:rPr>
      </w:pPr>
    </w:p>
    <w:p>
      <w:pPr>
        <w:rPr>
          <w:rFonts w:asciiTheme="minorEastAsia" w:hAnsiTheme="minorEastAsia" w:eastAsiaTheme="minorEastAsia"/>
          <w:b/>
          <w:color w:val="auto"/>
          <w:sz w:val="24"/>
          <w:highlight w:val="none"/>
        </w:rPr>
      </w:pPr>
      <w:bookmarkStart w:id="71" w:name="_Toc23860"/>
      <w:bookmarkStart w:id="72" w:name="_Toc26536"/>
      <w:bookmarkStart w:id="73" w:name="_Hlk11701496"/>
      <w:r>
        <w:rPr>
          <w:rFonts w:hint="eastAsia" w:asciiTheme="minorEastAsia" w:hAnsiTheme="minorEastAsia" w:eastAsiaTheme="minorEastAsia"/>
          <w:b/>
          <w:color w:val="auto"/>
          <w:sz w:val="24"/>
          <w:highlight w:val="none"/>
        </w:rPr>
        <w:br w:type="page"/>
      </w:r>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(2)诚信履约承诺函</w:t>
      </w:r>
      <w:bookmarkEnd w:id="71"/>
      <w:bookmarkEnd w:id="72"/>
    </w:p>
    <w:p>
      <w:pPr>
        <w:spacing w:line="360" w:lineRule="auto"/>
        <w:rPr>
          <w:rFonts w:asciiTheme="minorEastAsia" w:hAnsiTheme="minorEastAsia" w:eastAsiaTheme="minorEastAsia"/>
          <w:b/>
          <w:bCs/>
          <w:color w:val="auto"/>
          <w:sz w:val="24"/>
          <w:highlight w:val="none"/>
        </w:rPr>
      </w:pPr>
    </w:p>
    <w:p>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本承诺声明：</w:t>
      </w:r>
      <w:r>
        <w:rPr>
          <w:rFonts w:hint="eastAsia" w:ascii="宋体" w:hAnsi="宋体" w:eastAsia="宋体"/>
          <w:bCs/>
          <w:color w:val="auto"/>
          <w:sz w:val="24"/>
          <w:szCs w:val="24"/>
          <w:highlight w:val="none"/>
          <w:u w:val="single"/>
        </w:rPr>
        <w:t xml:space="preserve">                   （投标人名称）</w:t>
      </w:r>
      <w:r>
        <w:rPr>
          <w:rFonts w:hint="eastAsia" w:ascii="宋体" w:hAnsi="宋体" w:eastAsia="宋体"/>
          <w:bCs/>
          <w:color w:val="auto"/>
          <w:sz w:val="24"/>
          <w:szCs w:val="24"/>
          <w:highlight w:val="none"/>
        </w:rPr>
        <w:t>对本招标文件的相关要求完全响应。若有幸中标将严格按照以上承诺进行供货和服务。</w:t>
      </w:r>
    </w:p>
    <w:p>
      <w:pPr>
        <w:spacing w:line="360" w:lineRule="auto"/>
        <w:rPr>
          <w:rFonts w:asciiTheme="minorEastAsia" w:hAnsiTheme="minorEastAsia" w:eastAsiaTheme="minorEastAsia"/>
          <w:bCs/>
          <w:color w:val="auto"/>
          <w:sz w:val="24"/>
          <w:highlight w:val="none"/>
        </w:rPr>
      </w:pPr>
    </w:p>
    <w:p>
      <w:pPr>
        <w:spacing w:line="360" w:lineRule="auto"/>
        <w:rPr>
          <w:rFonts w:asciiTheme="minorEastAsia" w:hAnsiTheme="minorEastAsia" w:eastAsiaTheme="minorEastAsia"/>
          <w:bCs/>
          <w:color w:val="auto"/>
          <w:sz w:val="24"/>
          <w:highlight w:val="none"/>
        </w:rPr>
      </w:pPr>
    </w:p>
    <w:p>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w:t>
      </w:r>
      <w:r>
        <w:rPr>
          <w:rFonts w:hint="eastAsia" w:asciiTheme="minorEastAsia" w:hAnsiTheme="minorEastAsia" w:eastAsiaTheme="minorEastAsia"/>
          <w:bCs/>
          <w:color w:val="auto"/>
          <w:sz w:val="24"/>
          <w:highlight w:val="none"/>
          <w:lang w:val="en-US" w:eastAsia="zh-CN"/>
        </w:rPr>
        <w:t>盖</w:t>
      </w:r>
      <w:r>
        <w:rPr>
          <w:rFonts w:hint="eastAsia" w:asciiTheme="minorEastAsia" w:hAnsiTheme="minorEastAsia" w:eastAsiaTheme="minorEastAsia"/>
          <w:bCs/>
          <w:color w:val="auto"/>
          <w:sz w:val="24"/>
          <w:highlight w:val="none"/>
        </w:rPr>
        <w:t>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pPr>
        <w:widowControl/>
        <w:jc w:val="left"/>
        <w:rPr>
          <w:rFonts w:ascii="宋体" w:hAnsi="宋体"/>
          <w:color w:val="auto"/>
          <w:szCs w:val="21"/>
          <w:highlight w:val="none"/>
        </w:rPr>
      </w:pPr>
      <w:r>
        <w:rPr>
          <w:rFonts w:ascii="宋体" w:hAnsi="宋体" w:eastAsia="宋体" w:cs="Arial"/>
          <w:color w:val="auto"/>
          <w:sz w:val="24"/>
          <w:highlight w:val="none"/>
        </w:rPr>
        <w:br w:type="page"/>
      </w:r>
      <w:bookmarkEnd w:id="73"/>
    </w:p>
    <w:p>
      <w:pPr>
        <w:jc w:val="center"/>
        <w:rPr>
          <w:rFonts w:ascii="宋体"/>
          <w:color w:val="auto"/>
          <w:sz w:val="24"/>
          <w:highlight w:val="none"/>
        </w:rPr>
      </w:pPr>
      <w:r>
        <w:rPr>
          <w:rFonts w:hint="eastAsia" w:ascii="宋体" w:hAnsi="宋体"/>
          <w:b/>
          <w:color w:val="auto"/>
          <w:sz w:val="28"/>
          <w:szCs w:val="28"/>
          <w:highlight w:val="none"/>
        </w:rPr>
        <w:t>三、商务标格式文件</w:t>
      </w:r>
    </w:p>
    <w:p>
      <w:pPr>
        <w:jc w:val="center"/>
        <w:rPr>
          <w:rFonts w:eastAsia="黑体"/>
          <w:color w:val="auto"/>
          <w:sz w:val="20"/>
          <w:highlight w:val="none"/>
        </w:rPr>
      </w:pPr>
    </w:p>
    <w:p>
      <w:pPr>
        <w:rPr>
          <w:rFonts w:ascii="宋体"/>
          <w:color w:val="auto"/>
          <w:sz w:val="20"/>
          <w:highlight w:val="none"/>
        </w:rPr>
      </w:pPr>
    </w:p>
    <w:p>
      <w:pPr>
        <w:pStyle w:val="30"/>
        <w:rPr>
          <w:color w:val="auto"/>
          <w:highlight w:val="none"/>
        </w:rPr>
      </w:pPr>
    </w:p>
    <w:p>
      <w:pPr>
        <w:jc w:val="center"/>
        <w:rPr>
          <w:rFonts w:ascii="宋体"/>
          <w:b/>
          <w:color w:val="auto"/>
          <w:sz w:val="44"/>
          <w:szCs w:val="44"/>
          <w:highlight w:val="none"/>
        </w:rPr>
      </w:pPr>
      <w:bookmarkStart w:id="74" w:name="_Toc449028954"/>
      <w:r>
        <w:rPr>
          <w:rFonts w:hint="eastAsia" w:ascii="宋体"/>
          <w:b/>
          <w:color w:val="auto"/>
          <w:sz w:val="44"/>
          <w:szCs w:val="44"/>
          <w:highlight w:val="none"/>
        </w:rPr>
        <w:t>商务标</w:t>
      </w:r>
      <w:bookmarkEnd w:id="74"/>
    </w:p>
    <w:p>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pPr>
        <w:jc w:val="center"/>
        <w:rPr>
          <w:rFonts w:ascii="宋体"/>
          <w:color w:val="auto"/>
          <w:sz w:val="36"/>
          <w:szCs w:val="36"/>
          <w:highlight w:val="none"/>
        </w:rPr>
      </w:pPr>
    </w:p>
    <w:p>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盖</w:t>
      </w:r>
      <w:r>
        <w:rPr>
          <w:rFonts w:hint="eastAsia" w:ascii="宋体"/>
          <w:color w:val="auto"/>
          <w:sz w:val="28"/>
          <w:szCs w:val="28"/>
          <w:highlight w:val="none"/>
        </w:rPr>
        <w:t>章）</w:t>
      </w:r>
    </w:p>
    <w:p>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w:t>
      </w:r>
      <w:r>
        <w:rPr>
          <w:rFonts w:hint="eastAsia" w:ascii="宋体"/>
          <w:color w:val="auto"/>
          <w:sz w:val="28"/>
          <w:szCs w:val="28"/>
          <w:highlight w:val="none"/>
          <w:lang w:val="en-US" w:eastAsia="zh-CN"/>
        </w:rPr>
        <w:t>字或盖</w:t>
      </w:r>
      <w:r>
        <w:rPr>
          <w:rFonts w:hint="eastAsia" w:ascii="宋体"/>
          <w:color w:val="auto"/>
          <w:sz w:val="28"/>
          <w:szCs w:val="28"/>
          <w:highlight w:val="none"/>
        </w:rPr>
        <w:t>章）</w:t>
      </w:r>
    </w:p>
    <w:p>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pPr>
        <w:spacing w:line="720" w:lineRule="auto"/>
        <w:jc w:val="center"/>
        <w:rPr>
          <w:rFonts w:ascii="宋体"/>
          <w:b/>
          <w:color w:val="auto"/>
          <w:sz w:val="36"/>
          <w:szCs w:val="36"/>
          <w:highlight w:val="none"/>
        </w:rPr>
      </w:pPr>
    </w:p>
    <w:p>
      <w:pPr>
        <w:rPr>
          <w:b/>
          <w:color w:val="auto"/>
          <w:sz w:val="28"/>
          <w:szCs w:val="28"/>
          <w:highlight w:val="none"/>
        </w:rPr>
      </w:pPr>
      <w:r>
        <w:rPr>
          <w:rFonts w:hint="eastAsia"/>
          <w:b/>
          <w:color w:val="auto"/>
          <w:sz w:val="28"/>
          <w:szCs w:val="28"/>
          <w:highlight w:val="none"/>
        </w:rPr>
        <w:br w:type="page"/>
      </w:r>
    </w:p>
    <w:p>
      <w:pPr>
        <w:spacing w:line="400" w:lineRule="exact"/>
        <w:ind w:firstLine="3379" w:firstLineChars="935"/>
        <w:rPr>
          <w:b/>
          <w:color w:val="auto"/>
          <w:sz w:val="36"/>
          <w:szCs w:val="36"/>
          <w:highlight w:val="none"/>
        </w:rPr>
      </w:pPr>
      <w:r>
        <w:rPr>
          <w:rFonts w:hint="eastAsia"/>
          <w:b/>
          <w:color w:val="auto"/>
          <w:sz w:val="36"/>
          <w:szCs w:val="36"/>
          <w:highlight w:val="none"/>
        </w:rPr>
        <w:t>目   录</w:t>
      </w:r>
    </w:p>
    <w:p>
      <w:pPr>
        <w:spacing w:line="400" w:lineRule="exact"/>
        <w:ind w:firstLine="4130" w:firstLineChars="935"/>
        <w:rPr>
          <w:b/>
          <w:color w:val="auto"/>
          <w:sz w:val="44"/>
          <w:szCs w:val="44"/>
          <w:highlight w:val="none"/>
        </w:rPr>
      </w:pPr>
    </w:p>
    <w:p>
      <w:pPr>
        <w:spacing w:line="440" w:lineRule="exact"/>
        <w:ind w:left="420"/>
        <w:jc w:val="left"/>
        <w:rPr>
          <w:rFonts w:ascii="宋体" w:hAnsi="宋体" w:eastAsia="宋体"/>
          <w:color w:val="auto"/>
          <w:szCs w:val="21"/>
          <w:highlight w:val="none"/>
        </w:rPr>
      </w:pPr>
      <w:bookmarkStart w:id="75" w:name="_Hlk111065821"/>
      <w:r>
        <w:rPr>
          <w:rFonts w:hint="eastAsia" w:ascii="宋体" w:hAnsi="宋体" w:eastAsia="宋体"/>
          <w:color w:val="auto"/>
          <w:szCs w:val="21"/>
          <w:highlight w:val="none"/>
        </w:rPr>
        <w:t>（1）开标一览表（格式见附件）；</w:t>
      </w:r>
    </w:p>
    <w:p>
      <w:pPr>
        <w:spacing w:line="440" w:lineRule="exact"/>
        <w:ind w:left="420"/>
        <w:jc w:val="left"/>
        <w:rPr>
          <w:rFonts w:ascii="宋体" w:hAnsi="宋体" w:eastAsia="宋体"/>
          <w:color w:val="auto"/>
          <w:szCs w:val="21"/>
          <w:highlight w:val="none"/>
        </w:rPr>
      </w:pPr>
      <w:r>
        <w:rPr>
          <w:rFonts w:hint="eastAsia" w:ascii="宋体" w:hAnsi="宋体" w:eastAsia="宋体"/>
          <w:color w:val="auto"/>
          <w:szCs w:val="21"/>
          <w:highlight w:val="none"/>
        </w:rPr>
        <w:t>（2）投标函（格式见附件）；</w:t>
      </w:r>
    </w:p>
    <w:bookmarkEnd w:id="75"/>
    <w:p>
      <w:pPr>
        <w:tabs>
          <w:tab w:val="left" w:pos="14"/>
        </w:tabs>
        <w:spacing w:line="44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（3）投标人认为需要提供的其他材料。</w:t>
      </w:r>
    </w:p>
    <w:p>
      <w:pPr>
        <w:rPr>
          <w:rFonts w:ascii="宋体" w:hAnsi="宋体" w:eastAsia="宋体"/>
          <w:color w:val="auto"/>
          <w:szCs w:val="21"/>
          <w:highlight w:val="none"/>
        </w:rPr>
      </w:pPr>
      <w:r>
        <w:rPr>
          <w:rFonts w:hint="eastAsia" w:ascii="宋体" w:hAnsi="宋体" w:eastAsia="宋体"/>
          <w:color w:val="auto"/>
          <w:szCs w:val="21"/>
          <w:highlight w:val="none"/>
        </w:rPr>
        <w:br w:type="page"/>
      </w:r>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（1）开标一览表</w:t>
      </w:r>
      <w:bookmarkEnd w:id="67"/>
      <w:bookmarkEnd w:id="68"/>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bCs/>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pPr>
              <w:spacing w:line="360" w:lineRule="auto"/>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pPr>
              <w:widowControl/>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pPr>
              <w:spacing w:line="360" w:lineRule="auto"/>
              <w:ind w:right="-670"/>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pPr>
              <w:snapToGrid w:val="0"/>
              <w:spacing w:line="360" w:lineRule="auto"/>
              <w:jc w:val="left"/>
              <w:rPr>
                <w:rFonts w:ascii="宋体" w:hAnsi="宋体" w:eastAsia="宋体" w:cs="宋体"/>
                <w:bCs/>
                <w:color w:val="auto"/>
                <w:sz w:val="24"/>
                <w:szCs w:val="24"/>
                <w:highlight w:val="none"/>
              </w:rPr>
            </w:pPr>
            <w:r>
              <w:rPr>
                <w:rFonts w:hint="eastAsia" w:ascii="宋体" w:hAnsi="宋体" w:eastAsia="宋体"/>
                <w:color w:val="auto"/>
                <w:sz w:val="24"/>
                <w:szCs w:val="28"/>
                <w:highlight w:val="none"/>
              </w:rPr>
              <w:t>扣除后报价（如有）：</w:t>
            </w:r>
          </w:p>
          <w:p>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p>
          <w:p>
            <w:pPr>
              <w:spacing w:line="360" w:lineRule="auto"/>
              <w:jc w:val="left"/>
              <w:rPr>
                <w:rFonts w:asciiTheme="minorEastAsia" w:hAnsiTheme="minorEastAsia" w:eastAsiaTheme="minorEastAsia"/>
                <w:color w:val="auto"/>
                <w:sz w:val="24"/>
                <w:szCs w:val="28"/>
                <w:highlight w:val="none"/>
              </w:rPr>
            </w:pPr>
            <w:r>
              <w:rPr>
                <w:rFonts w:hint="eastAsia" w:ascii="宋体" w:hAnsi="宋体" w:eastAsia="宋体" w:cs="宋体"/>
                <w:bCs/>
                <w:color w:val="auto"/>
                <w:sz w:val="24"/>
                <w:szCs w:val="24"/>
                <w:highlight w:val="none"/>
              </w:rPr>
              <w:t>小写：</w:t>
            </w:r>
          </w:p>
        </w:tc>
      </w:tr>
    </w:tbl>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hint="eastAsia" w:ascii="宋体" w:hAnsi="宋体" w:eastAsia="宋体"/>
          <w:b/>
          <w:bCs/>
          <w:color w:val="auto"/>
          <w:sz w:val="24"/>
          <w:highlight w:val="none"/>
        </w:rPr>
        <w:t>此表</w:t>
      </w:r>
      <w:r>
        <w:rPr>
          <w:rFonts w:ascii="宋体" w:hAnsi="宋体" w:eastAsia="宋体"/>
          <w:color w:val="auto"/>
          <w:sz w:val="24"/>
          <w:highlight w:val="none"/>
        </w:rPr>
        <w:t>作为评审及定标依据。任何有选择或有条件的投标报价，或者表中某一包别填写多个报价，均为无效报价。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pPr>
        <w:spacing w:line="360" w:lineRule="auto"/>
        <w:jc w:val="center"/>
        <w:outlineLvl w:val="1"/>
        <w:rPr>
          <w:rFonts w:asciiTheme="minorEastAsia" w:hAnsiTheme="minorEastAsia" w:eastAsiaTheme="minorEastAsia"/>
          <w:b/>
          <w:color w:val="auto"/>
          <w:sz w:val="24"/>
          <w:highlight w:val="none"/>
        </w:rPr>
      </w:pPr>
      <w:bookmarkStart w:id="76" w:name="_Toc6120"/>
      <w:bookmarkStart w:id="77" w:name="_Toc6441"/>
      <w:r>
        <w:rPr>
          <w:rFonts w:hint="eastAsia" w:asciiTheme="minorEastAsia" w:hAnsiTheme="minorEastAsia" w:eastAsiaTheme="minorEastAsia"/>
          <w:b/>
          <w:color w:val="auto"/>
          <w:sz w:val="24"/>
          <w:highlight w:val="none"/>
        </w:rPr>
        <w:t>（2）投标函</w:t>
      </w:r>
      <w:bookmarkEnd w:id="76"/>
      <w:bookmarkEnd w:id="77"/>
    </w:p>
    <w:p>
      <w:pPr>
        <w:pStyle w:val="19"/>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pPr>
        <w:spacing w:line="360" w:lineRule="auto"/>
        <w:ind w:firstLine="4800" w:firstLineChars="2000"/>
        <w:rPr>
          <w:rFonts w:ascii="宋体" w:hAnsi="宋体" w:eastAsia="宋体"/>
          <w:color w:val="auto"/>
          <w:sz w:val="24"/>
          <w:highlight w:val="none"/>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pPr>
        <w:spacing w:line="360" w:lineRule="auto"/>
        <w:jc w:val="center"/>
        <w:outlineLvl w:val="1"/>
        <w:rPr>
          <w:rFonts w:asciiTheme="minorEastAsia" w:hAnsiTheme="minorEastAsia" w:eastAsiaTheme="minorEastAsia"/>
          <w:b/>
          <w:color w:val="auto"/>
          <w:sz w:val="24"/>
          <w:highlight w:val="none"/>
        </w:rPr>
      </w:pPr>
      <w:bookmarkStart w:id="78" w:name="_Toc2683"/>
      <w:r>
        <w:rPr>
          <w:rFonts w:hint="eastAsia" w:asciiTheme="minorEastAsia" w:hAnsiTheme="minorEastAsia" w:eastAsiaTheme="minorEastAsia"/>
          <w:b/>
          <w:color w:val="auto"/>
          <w:sz w:val="24"/>
          <w:highlight w:val="none"/>
        </w:rPr>
        <w:t>（4）其他相关证明材料</w:t>
      </w:r>
      <w:bookmarkEnd w:id="78"/>
    </w:p>
    <w:p>
      <w:pPr>
        <w:spacing w:line="360" w:lineRule="auto"/>
        <w:ind w:firstLine="435"/>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pPr>
        <w:widowControl/>
        <w:jc w:val="left"/>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widowControl/>
        <w:jc w:val="left"/>
        <w:rPr>
          <w:rFonts w:asciiTheme="minorEastAsia" w:hAnsiTheme="minorEastAsia" w:eastAsiaTheme="minorEastAsia"/>
          <w:color w:val="auto"/>
          <w:sz w:val="24"/>
          <w:highlight w:val="none"/>
        </w:rPr>
      </w:pPr>
    </w:p>
    <w:p>
      <w:pPr>
        <w:spacing w:line="360" w:lineRule="auto"/>
        <w:jc w:val="center"/>
        <w:outlineLvl w:val="0"/>
        <w:rPr>
          <w:rFonts w:ascii="宋体" w:hAnsi="宋体" w:eastAsia="宋体"/>
          <w:b/>
          <w:bCs/>
          <w:color w:val="auto"/>
          <w:sz w:val="28"/>
          <w:highlight w:val="none"/>
        </w:rPr>
      </w:pPr>
      <w:bookmarkStart w:id="79" w:name="_Toc20819"/>
      <w:bookmarkStart w:id="80" w:name="_Toc6435"/>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9"/>
      <w:bookmarkEnd w:id="80"/>
    </w:p>
    <w:p>
      <w:pPr>
        <w:spacing w:line="360" w:lineRule="auto"/>
        <w:jc w:val="center"/>
        <w:outlineLvl w:val="1"/>
        <w:rPr>
          <w:rFonts w:ascii="仿宋" w:hAnsi="仿宋" w:eastAsia="仿宋" w:cs="仿宋"/>
          <w:b/>
          <w:bCs/>
          <w:color w:val="auto"/>
          <w:sz w:val="32"/>
          <w:szCs w:val="44"/>
          <w:highlight w:val="none"/>
        </w:rPr>
      </w:pPr>
      <w:bookmarkStart w:id="81" w:name="_Toc6955"/>
      <w:bookmarkStart w:id="82" w:name="_Toc27159"/>
      <w:r>
        <w:rPr>
          <w:rFonts w:hint="eastAsia" w:ascii="仿宋" w:hAnsi="仿宋" w:eastAsia="仿宋" w:cs="仿宋"/>
          <w:b/>
          <w:bCs/>
          <w:color w:val="auto"/>
          <w:sz w:val="32"/>
          <w:szCs w:val="44"/>
          <w:highlight w:val="none"/>
        </w:rPr>
        <w:t>询问函范本</w:t>
      </w:r>
      <w:bookmarkEnd w:id="81"/>
      <w:bookmarkEnd w:id="82"/>
    </w:p>
    <w:p>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（如为对采购文件或采购程序的询问或疑问，请按询问函范本或交易系统中网上询问格式附件进行提交）</w:t>
      </w:r>
    </w:p>
    <w:p>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83" w:name="_Toc13899"/>
      <w:r>
        <w:rPr>
          <w:rFonts w:hint="eastAsia" w:cs="仿宋" w:asciiTheme="minorEastAsia" w:hAnsiTheme="minorEastAsia" w:eastAsiaTheme="minorEastAsia"/>
          <w:color w:val="auto"/>
          <w:sz w:val="24"/>
          <w:szCs w:val="24"/>
          <w:highlight w:val="none"/>
        </w:rPr>
        <w:t>一、(事项一)</w:t>
      </w:r>
      <w:bookmarkEnd w:id="83"/>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84" w:name="_Toc3352"/>
      <w:r>
        <w:rPr>
          <w:rFonts w:hint="eastAsia" w:cs="仿宋" w:asciiTheme="minorEastAsia" w:hAnsiTheme="minorEastAsia" w:eastAsiaTheme="minorEastAsia"/>
          <w:color w:val="auto"/>
          <w:sz w:val="24"/>
          <w:szCs w:val="24"/>
          <w:highlight w:val="none"/>
        </w:rPr>
        <w:t>二、(事项二)</w:t>
      </w:r>
      <w:bookmarkEnd w:id="84"/>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pPr>
        <w:jc w:val="center"/>
        <w:outlineLvl w:val="1"/>
        <w:rPr>
          <w:rFonts w:ascii="仿宋" w:hAnsi="仿宋" w:eastAsia="仿宋" w:cs="仿宋"/>
          <w:b/>
          <w:bCs/>
          <w:color w:val="auto"/>
          <w:sz w:val="32"/>
          <w:szCs w:val="44"/>
          <w:highlight w:val="none"/>
        </w:rPr>
      </w:pPr>
      <w:bookmarkStart w:id="85" w:name="_Toc1575"/>
      <w:bookmarkStart w:id="86" w:name="_Toc857"/>
      <w:r>
        <w:rPr>
          <w:rFonts w:hint="eastAsia" w:ascii="仿宋" w:hAnsi="仿宋" w:eastAsia="仿宋" w:cs="仿宋"/>
          <w:b/>
          <w:bCs/>
          <w:color w:val="auto"/>
          <w:sz w:val="32"/>
          <w:szCs w:val="44"/>
          <w:highlight w:val="none"/>
        </w:rPr>
        <w:t>质疑函范本</w:t>
      </w:r>
      <w:bookmarkEnd w:id="85"/>
      <w:bookmarkEnd w:id="86"/>
    </w:p>
    <w:p>
      <w:pPr>
        <w:adjustRightInd w:val="0"/>
        <w:snapToGrid w:val="0"/>
        <w:spacing w:beforeLines="100" w:line="360" w:lineRule="auto"/>
        <w:rPr>
          <w:rFonts w:cs="仿宋" w:asciiTheme="minorEastAsia" w:hAnsiTheme="minorEastAsia" w:eastAsiaTheme="minorEastAsia"/>
          <w:b/>
          <w:bCs/>
          <w:color w:val="auto"/>
          <w:sz w:val="24"/>
          <w:szCs w:val="24"/>
          <w:highlight w:val="none"/>
        </w:rPr>
      </w:pPr>
      <w:bookmarkStart w:id="87" w:name="_Toc21381"/>
      <w:r>
        <w:rPr>
          <w:rFonts w:hint="eastAsia" w:cs="仿宋" w:asciiTheme="minorEastAsia" w:hAnsiTheme="minorEastAsia" w:eastAsiaTheme="minorEastAsia"/>
          <w:b/>
          <w:bCs/>
          <w:color w:val="auto"/>
          <w:sz w:val="24"/>
          <w:szCs w:val="24"/>
          <w:highlight w:val="none"/>
        </w:rPr>
        <w:t>一、质疑供应商基本信息</w:t>
      </w:r>
      <w:bookmarkEnd w:id="87"/>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b/>
          <w:bCs/>
          <w:color w:val="auto"/>
          <w:sz w:val="24"/>
          <w:szCs w:val="24"/>
          <w:highlight w:val="none"/>
        </w:rPr>
      </w:pPr>
      <w:bookmarkStart w:id="88" w:name="_Toc28415"/>
      <w:r>
        <w:rPr>
          <w:rFonts w:hint="eastAsia" w:cs="仿宋" w:asciiTheme="minorEastAsia" w:hAnsiTheme="minorEastAsia" w:eastAsiaTheme="minorEastAsia"/>
          <w:b/>
          <w:bCs/>
          <w:color w:val="auto"/>
          <w:sz w:val="24"/>
          <w:szCs w:val="24"/>
          <w:highlight w:val="none"/>
        </w:rPr>
        <w:t>二、质疑项目基本情况</w:t>
      </w:r>
      <w:bookmarkEnd w:id="88"/>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b/>
          <w:bCs/>
          <w:color w:val="auto"/>
          <w:sz w:val="24"/>
          <w:szCs w:val="24"/>
          <w:highlight w:val="none"/>
        </w:rPr>
      </w:pPr>
      <w:bookmarkStart w:id="89" w:name="_Toc19014"/>
      <w:r>
        <w:rPr>
          <w:rFonts w:hint="eastAsia" w:cs="仿宋" w:asciiTheme="minorEastAsia" w:hAnsiTheme="minorEastAsia" w:eastAsiaTheme="minorEastAsia"/>
          <w:b/>
          <w:bCs/>
          <w:color w:val="auto"/>
          <w:sz w:val="24"/>
          <w:szCs w:val="24"/>
          <w:highlight w:val="none"/>
        </w:rPr>
        <w:t>三、质疑事项具体内容</w:t>
      </w:r>
      <w:bookmarkEnd w:id="89"/>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rPr>
          <w:rFonts w:cs="仿宋" w:asciiTheme="minorEastAsia" w:hAnsiTheme="minorEastAsia" w:eastAsiaTheme="minorEastAsia"/>
          <w:b/>
          <w:bCs/>
          <w:color w:val="auto"/>
          <w:sz w:val="24"/>
          <w:szCs w:val="24"/>
          <w:highlight w:val="none"/>
        </w:rPr>
      </w:pPr>
      <w:bookmarkStart w:id="90" w:name="_Toc17919"/>
      <w:r>
        <w:rPr>
          <w:rFonts w:hint="eastAsia" w:cs="仿宋" w:asciiTheme="minorEastAsia" w:hAnsiTheme="minorEastAsia" w:eastAsiaTheme="minorEastAsia"/>
          <w:b/>
          <w:bCs/>
          <w:color w:val="auto"/>
          <w:sz w:val="24"/>
          <w:szCs w:val="24"/>
          <w:highlight w:val="none"/>
        </w:rPr>
        <w:t>四、与质疑事项相关的质疑请求</w:t>
      </w:r>
      <w:bookmarkEnd w:id="90"/>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outlineLvl w:val="0"/>
        <w:rPr>
          <w:rFonts w:asciiTheme="minorEastAsia" w:hAnsiTheme="minorEastAsia" w:eastAsiaTheme="minorEastAsia"/>
          <w:b/>
          <w:color w:val="auto"/>
          <w:sz w:val="28"/>
          <w:szCs w:val="32"/>
          <w:highlight w:val="none"/>
        </w:rPr>
      </w:pPr>
      <w:bookmarkStart w:id="91" w:name="_Toc22239"/>
      <w:bookmarkStart w:id="92" w:name="_Toc9754"/>
      <w:r>
        <w:rPr>
          <w:rFonts w:hint="eastAsia" w:asciiTheme="minorEastAsia" w:hAnsiTheme="minorEastAsia" w:eastAsiaTheme="minorEastAsia"/>
          <w:b/>
          <w:color w:val="auto"/>
          <w:sz w:val="28"/>
          <w:szCs w:val="32"/>
          <w:highlight w:val="none"/>
        </w:rPr>
        <w:t>质疑函制作说明：</w:t>
      </w:r>
      <w:bookmarkEnd w:id="91"/>
      <w:bookmarkEnd w:id="92"/>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pP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附件</w:t>
      </w:r>
      <w:r>
        <w:rPr>
          <w:rFonts w:ascii="Times New Roman" w:hAnsi="Times New Roman" w:eastAsia="宋体" w:cs="Times New Roman"/>
          <w:b/>
          <w:color w:val="auto"/>
          <w:sz w:val="28"/>
          <w:szCs w:val="28"/>
          <w:highlight w:val="none"/>
        </w:rPr>
        <w:t>1</w:t>
      </w:r>
    </w:p>
    <w:p>
      <w:pPr>
        <w:spacing w:line="440" w:lineRule="exact"/>
        <w:jc w:val="center"/>
        <w:rPr>
          <w:rFonts w:ascii="黑体" w:hAnsi="宋体" w:eastAsia="黑体" w:cs="黑体"/>
          <w:b/>
          <w:color w:val="auto"/>
          <w:sz w:val="30"/>
          <w:szCs w:val="30"/>
          <w:highlight w:val="none"/>
        </w:rPr>
      </w:pPr>
      <w:r>
        <w:rPr>
          <w:rFonts w:hint="eastAsia" w:ascii="黑体" w:hAnsi="宋体" w:eastAsia="黑体" w:cs="黑体"/>
          <w:b/>
          <w:color w:val="auto"/>
          <w:sz w:val="30"/>
          <w:szCs w:val="30"/>
          <w:highlight w:val="none"/>
        </w:rPr>
        <w:t>关于联合惩戒失信行为 加强信用查询管理的通知</w:t>
      </w:r>
    </w:p>
    <w:p>
      <w:pPr>
        <w:spacing w:line="44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在我市公共资源交易活动中对存在下列失信行为的投标人、法定代表人及其项目经理（建造师）实施联合惩戒，禁止参与我市公共资源交易活动。</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（一）工程建设项目</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1、“信用中国”网站（www.creditchina.gov.cn）查询以下失信行为：</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①投标人被人民法院列入失信被执行人的；</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②投标人被税务部门列入重大税收违法案件当事人的；</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③投标人被人力资源社会保障主管部门列入拖欠农民工工资“黑名单”的；</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④在“信用中国”网站上披露的仍在公示期的严重失信行为的。</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2、国家企业信用信息公示系统网站（www.gsxt.gov.cn）查询以下失信行为：</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①被市场监督管理部门列入经营异常名录或者严重违法企业名单的。</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eastAsia="zh-CN"/>
        </w:rPr>
        <w:t>滁州市机电工程学校</w:t>
      </w:r>
      <w:r>
        <w:rPr>
          <w:rFonts w:hint="eastAsia" w:ascii="宋体" w:hAnsi="宋体" w:eastAsia="宋体" w:cs="宋体"/>
          <w:bCs/>
          <w:color w:val="auto"/>
          <w:kern w:val="0"/>
          <w:sz w:val="24"/>
          <w:szCs w:val="24"/>
          <w:highlight w:val="none"/>
        </w:rPr>
        <w:t>站（http://ggzy.chuzhou.gov.cn/）查询以下失信行为：</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①被滁州市县两级公管部门取消在一定期限内的投标资格且在取消期限内的；</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②被滁州市县两级公管部门记入不良行为记录或者信用信息记录，且在披露期内的。</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4、由竞争主体进行承诺，不进行现场网上信用查询的失信行为：</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①前三年有行贿犯罪行为的单位和个人；</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②被滁州市县两级各行业主管部门取消在一定期限内的投标资格且在取消期限内的；</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③因拖欠农民工工资被县级及以上有关行政主管部门限制投标资格且在限制期限内的；</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④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（二）政府采购项目</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1、“信用中国”网站（www.creditchina.gov.cn）查询以下失信行为：</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①投标人被人民法院列入失信被执行人的；</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②投标人被税务部门列入重大税收违法案件当事人的；</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③在“信用中国”网站上披露的仍在公示期的严重失信行为的。</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2、国家企业信用信息公示系统网站（www.gsxt.gov.cn）查询以下失信行为：</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①被市场监督管理部门列入经营异常名录或者严重违法企业名单的。</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3、中国政府采购网站（www.ccgp.gov.cn）查询以下失信行为：</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①政府采购严重违法失信行为</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4、由竞争主体进行承诺，不进行现场网上信用查询的失信行为：</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①前三年有行贿犯罪行为的单位和个人。</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二、在开评标活动中的查询程序</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3、项目单位及其委托的代理机构应当做好信用查询结果截图和记录留存。</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三、相关要求</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pPr>
        <w:widowControl/>
        <w:autoSpaceDE w:val="0"/>
        <w:spacing w:line="520" w:lineRule="exact"/>
        <w:ind w:firstLine="482" w:firstLineChars="200"/>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2、“信用中国”查询的严重失信行为判定依据为各行业主管部门下发的联合惩戒文件中规定的行为（按附件2执行）。</w:t>
      </w:r>
    </w:p>
    <w:p>
      <w:pPr>
        <w:widowControl/>
        <w:autoSpaceDE w:val="0"/>
        <w:spacing w:line="520" w:lineRule="exact"/>
        <w:ind w:firstLine="480" w:firstLineChars="200"/>
        <w:textAlignment w:val="baseline"/>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3、资格预审的项目以递交资格预审申请文件截止时间查询为准；资格后审的项目以递交投标文件截止时间查询为准。</w:t>
      </w:r>
    </w:p>
    <w:p>
      <w:pPr>
        <w:spacing w:line="440" w:lineRule="exact"/>
        <w:rPr>
          <w:rFonts w:ascii="宋体" w:hAnsi="宋体" w:eastAsia="宋体" w:cs="宋体"/>
          <w:b/>
          <w:color w:val="auto"/>
          <w:sz w:val="24"/>
          <w:szCs w:val="24"/>
          <w:highlight w:val="none"/>
        </w:rPr>
      </w:pPr>
    </w:p>
    <w:p>
      <w:pPr>
        <w:pStyle w:val="30"/>
        <w:widowControl/>
        <w:spacing w:beforeAutospacing="1"/>
        <w:rPr>
          <w:rFonts w:eastAsia="宋体"/>
          <w:color w:val="auto"/>
          <w:highlight w:val="none"/>
        </w:rPr>
      </w:pPr>
    </w:p>
    <w:p>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w:t>
      </w:r>
      <w:r>
        <w:rPr>
          <w:rFonts w:ascii="Times New Roman" w:hAnsi="Times New Roman" w:eastAsia="宋体" w:cs="Times New Roman"/>
          <w:b/>
          <w:color w:val="auto"/>
          <w:sz w:val="24"/>
          <w:szCs w:val="24"/>
          <w:highlight w:val="none"/>
        </w:rPr>
        <w:t>2</w:t>
      </w:r>
    </w:p>
    <w:p>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“信用中国”查询的严重失信行为类别及判定依据</w:t>
      </w:r>
    </w:p>
    <w:p>
      <w:pPr>
        <w:spacing w:line="440" w:lineRule="exact"/>
        <w:jc w:val="center"/>
        <w:rPr>
          <w:rFonts w:ascii="宋体" w:hAnsi="宋体" w:eastAsia="宋体" w:cs="宋体"/>
          <w:b/>
          <w:color w:val="auto"/>
          <w:sz w:val="24"/>
          <w:szCs w:val="24"/>
          <w:highlight w:val="none"/>
        </w:rPr>
      </w:pP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“信用中国”查询的严重失信行为判定依据为各行业主管部门下发的联合惩戒文件中规定的行为。下面将部分类别的严重失信行为列举如下：</w:t>
      </w:r>
    </w:p>
    <w:p>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p>
    <w:p>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rPr>
        <w:t>一、安全生产领域严重失信行为：</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（一）发生较大及以上生产安全责任事故，或1年内累计发生3起及以上造成人员死亡的一般生产安全责任事故的；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（二）未按规定取得安全生产许可，擅自开展生产经营建设活动的；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（三）发现重大生产安全事故隐患，或职业病危害严重超标，不及时整改，仍组织从业人员冒险作业的；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（四）采取隐蔽、欺骗或阻碍等方式逃避、对抗安全监管监察的;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（五）被责令停产停业整顿，仍然从事生产经营建设活动的；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（六）瞒报、谎报、迟报生产安全事故的；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（七）矿山、危险化学品、金属冶炼等高危行业建设项目安全设施未经验收合格即投入生产和使用的；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（八）矿山生产经营单位存在超层越界开采、以探代采行为的；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（九）发生事故后，故意破坏事故现场，伪造有关证据资料，妨碍、对抗事故调查，或主要负责人逃逸的；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（十）安全生产和职业健康技术服务机构出具虚假报告或证明，违规转让或出借资质的。</w:t>
      </w:r>
    </w:p>
    <w:p>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依据：《对安全生产领域失信行为开展联合惩戒的实施办法》（安监总办〔2017〕49号）第二条</w:t>
      </w:r>
    </w:p>
    <w:p>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p>
    <w:p>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rPr>
        <w:t>二、环境保护领域严重失信行为：</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（一）因为环境违法构成环境犯罪的；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（二）建设项目环境影响评价文件未按规定通过审批，擅自开工建设的；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（三）建设项目环保设施未建成、环保措施未落实、未通过竣工环保验收或者验收不合格，主体工程正式投入生产或者使用的；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（四）建设项目性质、规模、地点、采用的生产工艺或者防治污染、防止生态破坏的措施发生重大变动，未重新报批环境影响评价文件，擅自投入生产或者使用的；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（五）主要污染物排放总量超过控制指标的；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（六）私设暗管或者利用渗井、渗坑、裂隙、溶洞等排放、倾倒、处置水污染物，或者通过私设旁路排放大气污染物的；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（七）非法排放、倾倒、处置危险废物，或者向无经营许可证或者超出经营许可范围的单位或个人提供或者委托其收集、贮存、利用、处置危险废物的；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（八）环境违法行为造成集中式生活饮用水水源取水中断的；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（九）环境违法行为对生活饮用水水源保护区、自然保护区、国家重点生态功能区、风景名胜区、居住功能区、基本农田保护区等环境敏感区造成重大不利影响的；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（十）违法从事自然资源开发、交通基础设施建设，以及其他开发建设活动，造成严重生态破坏的；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（十一）发生较大及以上突发环境事件的；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（十二）被环保部门挂牌督办，整改逾期未完成的；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（十三）以暴力、威胁等方式拒绝、阻挠环保部门工作人员现场检查的；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（十四）违反重污染天气应急预案有关规定，对重污染天气响应不力的。</w:t>
      </w:r>
    </w:p>
    <w:p>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依据：《关于对环境保护领域失信生产经营单位及其有关人员开展联合惩戒的合作备忘录》、《企业环境信用评价办法（试行）》（环发〔2013〕150号）</w:t>
      </w:r>
    </w:p>
    <w:p>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p>
    <w:p>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rPr>
        <w:t>三、公共资源交易领域严重失信行为</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（一）违反法律规定，必须进行招标的项目而不招标的，将必须进行招标的项目化整为零或者以其他任何方式规避招标的；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（二）招标代理机构违反法律规定，泄露应当保密的与招标投标活动有关的情况和资料的，或者与招标人、投标人串通损害国家利益、社会公共利益或者他人合法权益的；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（三）招标人以不合理的条件限制或者排斥潜在投标人的，对潜在投标人实行歧视待遇的，强制要求投标人组成联合体共同投标的，或者限制投标人之间竞争的；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（四）依法必须进行招标的项目的招标人向他人透露已获取招标文件的潜在投标人的名称、数量或者可能影响公平竞争的有关招标投标的其他情况的，或者泄露标底的；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（五）投标人相互串通投标或者与招标人串通投标的，投标人以向招标人或者评标委员会成员行贿的手段谋取中标的；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（六）投标人以他人名义投标或者以其他方式弄虚作假，骗取中标的；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（七）依法必须进行招标的项目，招标人违反法律规定，与投标人就投标价格、投标方案等实质性内容进行谈判的；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（八）评标委员会成员收受投标人的财物或者其他好处的，评标委员会成员或者参加评标的有关工作人员向他人透露对投标文件的评审和比较、中标候选人的推荐以及与评标有关的其他情况的；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（九）招标人在评标委员会依法推荐的中标候选人以外确定中标人的，依法必须进行招标的项目在所有投标被评标委员会否决后自行确定中标人的；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（十）中标人将中标项目转让给他人的，将中标项目肢解后分别转让给他人的，违反法律规定将中标项目的部分主体、关键性工作分包给他人的，或者分包人再次分包的；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（十一）招标人与中标人不按照招标文件和中标人的投标文件订立合同的，或者招标人、中标人订立背离合同实质性内容的协议的；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（十二）中标人不按照与招标人订立的合同履行义务，情节严重的；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（十五）采购人对应当实行集中采购的政府采购项目，不委托集中采购机构实行集中采购的；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（十六）采购人、采购代理机构违反法律规定隐匿、销毁应当保存的采购文件或者伪造、变造采购文件的；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（十八）疫苗生产企业向县级疾病预防控制机构以外的单位或者个人销售第二类疫苗的；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（十九）存在其他违反公共资源交易法律法规行为的。</w:t>
      </w:r>
    </w:p>
    <w:p>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依据：《关于对公共资源交易领域严重失信主体开展联合惩戒的备忘录》（发改法规〔2018〕457号）</w:t>
      </w:r>
    </w:p>
    <w:p>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p>
    <w:p>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四、社会保险领域严重失信行为</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（一）用人单位未按相关规定参加社会保险且拒不整改的； </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（二）用人单位未如实申报社会保险缴费基数且拒不整改的； </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（三）应缴纳社会保险费却拒不缴纳的； </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（四）隐匿、转移、侵占、挪用社会保险费款、基金或者违规投资运营的；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（五）以欺诈、伪造证明材料或者其他手段参加、申报社会保险和骗取社会保险基金支出或社会保险待遇的； </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（六）非法获取、出售或变相交易社会保险个人权益数据的； </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（七）社会保险服务机构违反服务协议或相关规定的； </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（九）其他违反法律法规规定的。</w:t>
      </w:r>
    </w:p>
    <w:p>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依据：《关于对社会保险领域严重失信企业及其有关人员实施联合惩戒的合作备忘录》（发改财金〔2018〕1704号）</w:t>
      </w:r>
    </w:p>
    <w:p>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p>
    <w:p>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五、建筑市场领域严重失信行为</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（一）利用虚假材料、以欺骗手段取得企业资质的；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（二）发生转包、出借资质，受到行政处罚的；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（四）经法院判决或仲裁机构裁决，认定为拖欠工程款,且拒不履行生效法律文书确定的义务的。</w:t>
      </w:r>
    </w:p>
    <w:p>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各级住房城乡建设主管部门应当参照建筑市场主体“黑名单”，对被人力资源社会保障行政部门列入拖欠农民工工资“黑名单”的建筑市场各方主体加强监管。</w:t>
      </w:r>
    </w:p>
    <w:p>
      <w:pPr>
        <w:widowControl/>
        <w:autoSpaceDE w:val="0"/>
        <w:spacing w:line="480" w:lineRule="exact"/>
        <w:ind w:firstLine="482" w:firstLineChars="200"/>
        <w:jc w:val="left"/>
        <w:textAlignment w:val="baseline"/>
        <w:rPr>
          <w:rFonts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依据：《建筑市场信用管理暂行办法》（建市〔2017〕241号）</w:t>
      </w:r>
    </w:p>
    <w:p>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p>
    <w:p>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六、政府采购严重失信行为</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供应商、采购代理机构在三年内受到财政部门作出下列情形之一的行政处罚，列入政府采购严重违法失信行为记录名单。</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（一）三万元以上罚款；</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（二）在一至三年内禁止参加政府采购活动（处罚期限届满的除外）；</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（三）在一至三年内禁止代理政府采购业务（处罚期限届满的除外）；</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（四）撤销政府采购代理机构资格（仅针对《政府采购法》第78条修改前作出的处罚决定）。。</w:t>
      </w:r>
    </w:p>
    <w:p>
      <w:pPr>
        <w:widowControl/>
        <w:autoSpaceDE w:val="0"/>
        <w:spacing w:line="480" w:lineRule="exact"/>
        <w:ind w:firstLine="482" w:firstLineChars="200"/>
        <w:jc w:val="left"/>
        <w:textAlignment w:val="baseline"/>
        <w:rPr>
          <w:rFonts w:ascii="宋体" w:hAnsi="宋体" w:eastAsia="宋体" w:cs="Times New Roman"/>
          <w:b/>
          <w:color w:val="auto"/>
          <w:sz w:val="24"/>
          <w:szCs w:val="24"/>
          <w:highlight w:val="none"/>
        </w:rPr>
      </w:pPr>
      <w:r>
        <w:rPr>
          <w:rFonts w:hint="eastAsia" w:ascii="宋体" w:hAnsi="宋体" w:eastAsia="宋体" w:cs="宋体"/>
          <w:b/>
          <w:color w:val="auto"/>
          <w:kern w:val="0"/>
          <w:sz w:val="24"/>
          <w:szCs w:val="24"/>
          <w:highlight w:val="none"/>
        </w:rPr>
        <w:t>依据：《关于报送政府采购严重违法失信行为信息记录的通知》（财办库〔2014〕526号）</w:t>
      </w:r>
    </w:p>
    <w:p>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p>
    <w:p>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七、水利建设领域严重失信行为</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（一）1年内不良行为记录累计扣分达到20分的；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（二）"重点关注名单"公开期满后仍不整改的；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（三）存在以下严重危害人民群众身体健康、生命安全和工程质量，以及特别严重违规行为之一的：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1.发生重大、特大质量或安全事故，并负有直接责任的；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2.在单位公开信息、工程相关技术成果和工程建设过程中隐瞒真实情况、弄虚作假，提供虚假材料，谋取不正当利益的；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3.违反有关法律、法规、规章、政策、技术标准、设计文件、合同等有关规定开展工作造成的工程质量问题，经处理后仍影响工程正常使用或减少工程使用寿命的；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4.违反规定施工，造成生态环境严重破坏且拒不修复的；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5.被证实恶意制造工程质量缺陷或质量隐患的；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6.其他违反法律法规，造成严重后果或社会危害较大的。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（四）存在以下严重破坏市场公平竞争秩序和社会正常秩序行为之一的：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1.不按合同约定，恶意拖欠承包人项目款的；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2.隐瞒有关情况或者提供虚假材料申请资质的，在全国水利建设市场监管服务平台公开虚假信息的，以欺骗、贿赂等不正当手段取得资质等级证书的；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3.出借、借用资质证书,允许他人以本单位名义或借用他人名义等弄虚作假方式承揽业务的；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4.未取得相应资质或超越资质证书核定范围、营业范围承揽业务的；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5.操纵招标过程，谋取不正当利益的；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6.与招标人或投标人串通投标的；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7.以向招标人或评标委员会成员行贿的手段谋取中标的；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8.中标后，无正当理由不签订合同的；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9.转包或违法分包所承揽业务的；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10.弄虚作假，以欺诈手段降低工程或设备质量的；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11.单位行贿、受贿，受到刑事处罚的；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12.逃税骗税、恶意逃废债务的；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13.参与非法集资，受到刑事处罚的；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14.在签订、履行合同过程中，存在合同欺诈行为，受到刑事处罚的；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15.虚构工程项目，套取资金的；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16.克扣、无故拖欠农民工工资报酬，数额达到认定拒不支付劳动报酬罪数额标准的；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17.发生社会公共事件，影响较大，并负有直接责任的。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（五）存在以下拒不履行法定义务，严重影响司法机关、行政机关公信力行为之一的：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1.发生事故拒绝接受调查或拒绝提供有关资料的；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2.拒不执行生效的行政处罚决定的；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3.拒不执行仲裁、法院判决结果的。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（六）被相关联合惩戒部门列入"黑名单"，符合联合惩戒措施的。</w:t>
      </w:r>
    </w:p>
    <w:p>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生产建设项目水土保持市场主体"黑名单"列入标准见《水利建设市场主体信用信息管理办法》附件。</w:t>
      </w:r>
    </w:p>
    <w:p>
      <w:pPr>
        <w:widowControl/>
        <w:autoSpaceDE w:val="0"/>
        <w:spacing w:line="480" w:lineRule="exact"/>
        <w:ind w:firstLine="482" w:firstLineChars="200"/>
        <w:jc w:val="left"/>
        <w:textAlignment w:val="baseline"/>
        <w:rPr>
          <w:rFonts w:ascii="宋体" w:hAnsi="宋体" w:eastAsia="宋体" w:cs="Times New Roman"/>
          <w:b/>
          <w:color w:val="auto"/>
          <w:sz w:val="24"/>
          <w:szCs w:val="24"/>
          <w:highlight w:val="none"/>
        </w:rPr>
      </w:pPr>
      <w:r>
        <w:rPr>
          <w:rFonts w:hint="eastAsia" w:ascii="宋体" w:hAnsi="宋体" w:eastAsia="宋体" w:cs="宋体"/>
          <w:b/>
          <w:color w:val="auto"/>
          <w:kern w:val="0"/>
          <w:sz w:val="24"/>
          <w:szCs w:val="24"/>
          <w:highlight w:val="none"/>
        </w:rPr>
        <w:t>依据：《水利建设市场主体信用评价管理办法》水建设〔2019〕307号、《水利建设市场主体信用信息管理办法》水建设〔2019〕306号</w:t>
      </w:r>
    </w:p>
    <w:p>
      <w:pPr>
        <w:widowControl/>
        <w:autoSpaceDE w:val="0"/>
        <w:spacing w:line="480" w:lineRule="exact"/>
        <w:ind w:firstLine="480" w:firstLineChars="200"/>
        <w:textAlignment w:val="baseline"/>
        <w:rPr>
          <w:rFonts w:ascii="宋体" w:hAnsi="宋体" w:eastAsia="宋体" w:cs="宋体"/>
          <w:color w:val="auto"/>
          <w:sz w:val="24"/>
          <w:szCs w:val="24"/>
          <w:highlight w:val="none"/>
        </w:rPr>
      </w:pPr>
    </w:p>
    <w:p>
      <w:pPr>
        <w:widowControl/>
        <w:autoSpaceDE w:val="0"/>
        <w:spacing w:line="480" w:lineRule="exact"/>
        <w:ind w:firstLine="482" w:firstLineChars="200"/>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未列出的其他类别严重失信行为，由招标人（代理机构）根据各类别行业主管部门下发的联合惩戒文件进行判断。</w:t>
      </w:r>
    </w:p>
    <w:p>
      <w:pPr>
        <w:spacing w:line="440" w:lineRule="exact"/>
        <w:ind w:firstLine="615"/>
        <w:rPr>
          <w:rFonts w:ascii="宋体" w:hAnsi="宋体" w:eastAsia="宋体" w:cs="宋体"/>
          <w:b/>
          <w:color w:val="auto"/>
          <w:sz w:val="24"/>
          <w:szCs w:val="24"/>
          <w:highlight w:val="none"/>
        </w:rPr>
      </w:pPr>
    </w:p>
    <w:p>
      <w:pPr>
        <w:spacing w:line="360" w:lineRule="auto"/>
        <w:ind w:firstLine="435"/>
        <w:rPr>
          <w:rFonts w:asciiTheme="minorEastAsia" w:hAnsiTheme="minorEastAsia" w:eastAsiaTheme="minorEastAsia"/>
          <w:color w:val="auto"/>
          <w:sz w:val="24"/>
          <w:highlight w:val="none"/>
        </w:rPr>
      </w:pPr>
    </w:p>
    <w:sectPr>
      <w:headerReference r:id="rId5" w:type="default"/>
      <w:footerReference r:id="rId6" w:type="default"/>
      <w:pgSz w:w="11906" w:h="16838"/>
      <w:pgMar w:top="1440" w:right="1286"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- 27 -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3379E"/>
    <w:multiLevelType w:val="multilevel"/>
    <w:tmpl w:val="2323379E"/>
    <w:lvl w:ilvl="0" w:tentative="0">
      <w:start w:val="1"/>
      <w:numFmt w:val="chineseCountingThousand"/>
      <w:pStyle w:val="28"/>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2M2Y2JhYzUxZDQwOGI5OWNiODQyNTYwMmFhYzg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3F70"/>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3E5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35CE8"/>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0DF5"/>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313"/>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6AFF"/>
    <w:rsid w:val="00847B0F"/>
    <w:rsid w:val="00852994"/>
    <w:rsid w:val="00873D89"/>
    <w:rsid w:val="00876659"/>
    <w:rsid w:val="00876677"/>
    <w:rsid w:val="0087734C"/>
    <w:rsid w:val="00882141"/>
    <w:rsid w:val="00887E3B"/>
    <w:rsid w:val="008922A8"/>
    <w:rsid w:val="00895728"/>
    <w:rsid w:val="00895BD5"/>
    <w:rsid w:val="0089742B"/>
    <w:rsid w:val="008A16C4"/>
    <w:rsid w:val="008A4883"/>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87C1F"/>
    <w:rsid w:val="00A9176A"/>
    <w:rsid w:val="00A91CA2"/>
    <w:rsid w:val="00A92FB8"/>
    <w:rsid w:val="00A948F1"/>
    <w:rsid w:val="00AA1D7D"/>
    <w:rsid w:val="00AA7525"/>
    <w:rsid w:val="00AB0EA9"/>
    <w:rsid w:val="00AB139D"/>
    <w:rsid w:val="00AB2C46"/>
    <w:rsid w:val="00AB3904"/>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406E"/>
    <w:rsid w:val="00B22838"/>
    <w:rsid w:val="00B27D52"/>
    <w:rsid w:val="00B32BC1"/>
    <w:rsid w:val="00B33E95"/>
    <w:rsid w:val="00B34EE1"/>
    <w:rsid w:val="00B35B5E"/>
    <w:rsid w:val="00B361F2"/>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E6920"/>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0994"/>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6633"/>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4260"/>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C7B2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D4A64"/>
    <w:rsid w:val="018502B5"/>
    <w:rsid w:val="0214602E"/>
    <w:rsid w:val="029F0F02"/>
    <w:rsid w:val="03486B27"/>
    <w:rsid w:val="040A094E"/>
    <w:rsid w:val="04706FFA"/>
    <w:rsid w:val="04E36C96"/>
    <w:rsid w:val="056800F4"/>
    <w:rsid w:val="056F201D"/>
    <w:rsid w:val="05B664D4"/>
    <w:rsid w:val="07076C01"/>
    <w:rsid w:val="071C12AC"/>
    <w:rsid w:val="074E231E"/>
    <w:rsid w:val="07A934B3"/>
    <w:rsid w:val="07B54D24"/>
    <w:rsid w:val="0834033F"/>
    <w:rsid w:val="08B15E54"/>
    <w:rsid w:val="09500798"/>
    <w:rsid w:val="0980799C"/>
    <w:rsid w:val="0A0F6376"/>
    <w:rsid w:val="0A353CEA"/>
    <w:rsid w:val="0A6A18DB"/>
    <w:rsid w:val="0AEF3828"/>
    <w:rsid w:val="0B9C1F49"/>
    <w:rsid w:val="0BBB665B"/>
    <w:rsid w:val="0CB7664E"/>
    <w:rsid w:val="0D814026"/>
    <w:rsid w:val="0E816EC5"/>
    <w:rsid w:val="0EEA6FC1"/>
    <w:rsid w:val="0F5E3AD6"/>
    <w:rsid w:val="0F76123D"/>
    <w:rsid w:val="0F954485"/>
    <w:rsid w:val="0FBF344F"/>
    <w:rsid w:val="10505F32"/>
    <w:rsid w:val="105A27E6"/>
    <w:rsid w:val="11056D1C"/>
    <w:rsid w:val="119B0711"/>
    <w:rsid w:val="12197477"/>
    <w:rsid w:val="128D6FC9"/>
    <w:rsid w:val="12E0359D"/>
    <w:rsid w:val="12E12E71"/>
    <w:rsid w:val="13587E2C"/>
    <w:rsid w:val="13DF5603"/>
    <w:rsid w:val="140D6614"/>
    <w:rsid w:val="1466407E"/>
    <w:rsid w:val="14834E28"/>
    <w:rsid w:val="148E7D65"/>
    <w:rsid w:val="151D4243"/>
    <w:rsid w:val="15231BF9"/>
    <w:rsid w:val="159266A5"/>
    <w:rsid w:val="179F5278"/>
    <w:rsid w:val="1A3B68AA"/>
    <w:rsid w:val="1A3E1C1E"/>
    <w:rsid w:val="1ACE760F"/>
    <w:rsid w:val="1BC17CE4"/>
    <w:rsid w:val="1C141836"/>
    <w:rsid w:val="1E0F4D36"/>
    <w:rsid w:val="1E230902"/>
    <w:rsid w:val="1E6B6A14"/>
    <w:rsid w:val="1FA15E62"/>
    <w:rsid w:val="20550D9A"/>
    <w:rsid w:val="21714B53"/>
    <w:rsid w:val="218E2416"/>
    <w:rsid w:val="226915FE"/>
    <w:rsid w:val="22853819"/>
    <w:rsid w:val="22E14C32"/>
    <w:rsid w:val="241C01AD"/>
    <w:rsid w:val="24B97929"/>
    <w:rsid w:val="25113A8A"/>
    <w:rsid w:val="2520252D"/>
    <w:rsid w:val="259A75DB"/>
    <w:rsid w:val="26163BC1"/>
    <w:rsid w:val="26F8591E"/>
    <w:rsid w:val="27772E4C"/>
    <w:rsid w:val="285F40CA"/>
    <w:rsid w:val="28B539A5"/>
    <w:rsid w:val="28C01ECB"/>
    <w:rsid w:val="28EC3ECC"/>
    <w:rsid w:val="29117FC5"/>
    <w:rsid w:val="29BF71E3"/>
    <w:rsid w:val="2A110088"/>
    <w:rsid w:val="2A127B63"/>
    <w:rsid w:val="2A3C5105"/>
    <w:rsid w:val="2A946CEF"/>
    <w:rsid w:val="2AAA4765"/>
    <w:rsid w:val="2AC21606"/>
    <w:rsid w:val="2AF63C5E"/>
    <w:rsid w:val="2B7E7608"/>
    <w:rsid w:val="2B7F04E9"/>
    <w:rsid w:val="2C0E4AB3"/>
    <w:rsid w:val="2C305555"/>
    <w:rsid w:val="2C465FBF"/>
    <w:rsid w:val="2C9A21B9"/>
    <w:rsid w:val="2CE20523"/>
    <w:rsid w:val="2D496D68"/>
    <w:rsid w:val="2E2B796A"/>
    <w:rsid w:val="2E6672CB"/>
    <w:rsid w:val="2E7A48DE"/>
    <w:rsid w:val="2EDC3ED8"/>
    <w:rsid w:val="2F2D046C"/>
    <w:rsid w:val="2F364819"/>
    <w:rsid w:val="2F6351B4"/>
    <w:rsid w:val="2FCF199E"/>
    <w:rsid w:val="30483E83"/>
    <w:rsid w:val="30AA0E97"/>
    <w:rsid w:val="30D016ED"/>
    <w:rsid w:val="3192385D"/>
    <w:rsid w:val="331C7D8A"/>
    <w:rsid w:val="334E4CD8"/>
    <w:rsid w:val="343C0775"/>
    <w:rsid w:val="34AA76A9"/>
    <w:rsid w:val="356C50EC"/>
    <w:rsid w:val="361108CD"/>
    <w:rsid w:val="3700166C"/>
    <w:rsid w:val="3727617F"/>
    <w:rsid w:val="37384EA6"/>
    <w:rsid w:val="375969FE"/>
    <w:rsid w:val="37F7266B"/>
    <w:rsid w:val="38694EE9"/>
    <w:rsid w:val="39333B77"/>
    <w:rsid w:val="3A127963"/>
    <w:rsid w:val="3AEF7F72"/>
    <w:rsid w:val="3B2714BA"/>
    <w:rsid w:val="3B365CC9"/>
    <w:rsid w:val="3B9A7B88"/>
    <w:rsid w:val="3BC114FF"/>
    <w:rsid w:val="3C2660C6"/>
    <w:rsid w:val="3C544530"/>
    <w:rsid w:val="3C925059"/>
    <w:rsid w:val="3D2C7AC8"/>
    <w:rsid w:val="3D855D12"/>
    <w:rsid w:val="3D8B42FF"/>
    <w:rsid w:val="3D8C02DD"/>
    <w:rsid w:val="3DC20089"/>
    <w:rsid w:val="3DF36A6E"/>
    <w:rsid w:val="3F1138E1"/>
    <w:rsid w:val="3F792F1E"/>
    <w:rsid w:val="3FAE21A9"/>
    <w:rsid w:val="40824826"/>
    <w:rsid w:val="40CD48B1"/>
    <w:rsid w:val="40E63923"/>
    <w:rsid w:val="424741EF"/>
    <w:rsid w:val="429F5DD9"/>
    <w:rsid w:val="42B443F4"/>
    <w:rsid w:val="42F43FD4"/>
    <w:rsid w:val="43A91E5B"/>
    <w:rsid w:val="44BC3308"/>
    <w:rsid w:val="44C668B8"/>
    <w:rsid w:val="458952EB"/>
    <w:rsid w:val="45BA48DB"/>
    <w:rsid w:val="463A3650"/>
    <w:rsid w:val="469F0116"/>
    <w:rsid w:val="47321912"/>
    <w:rsid w:val="475259B7"/>
    <w:rsid w:val="47541888"/>
    <w:rsid w:val="48831CF9"/>
    <w:rsid w:val="48C26CC5"/>
    <w:rsid w:val="49A165B8"/>
    <w:rsid w:val="49B1408D"/>
    <w:rsid w:val="4A7D4FD2"/>
    <w:rsid w:val="4A913C9A"/>
    <w:rsid w:val="4AE22D2F"/>
    <w:rsid w:val="4B1F70AC"/>
    <w:rsid w:val="4B240F94"/>
    <w:rsid w:val="4B386AE5"/>
    <w:rsid w:val="4B386DCB"/>
    <w:rsid w:val="4BA75287"/>
    <w:rsid w:val="4BED70D6"/>
    <w:rsid w:val="4C1E4213"/>
    <w:rsid w:val="4C3C565C"/>
    <w:rsid w:val="4C5D0389"/>
    <w:rsid w:val="4CCC79C7"/>
    <w:rsid w:val="4D7555C7"/>
    <w:rsid w:val="4EAE6DA0"/>
    <w:rsid w:val="4EF42274"/>
    <w:rsid w:val="4FD037EF"/>
    <w:rsid w:val="5016514B"/>
    <w:rsid w:val="502857C7"/>
    <w:rsid w:val="50476D3D"/>
    <w:rsid w:val="51CB1C78"/>
    <w:rsid w:val="51FD6A51"/>
    <w:rsid w:val="526B680A"/>
    <w:rsid w:val="529F5982"/>
    <w:rsid w:val="53150D15"/>
    <w:rsid w:val="53456529"/>
    <w:rsid w:val="5352083E"/>
    <w:rsid w:val="541A5D30"/>
    <w:rsid w:val="54921C42"/>
    <w:rsid w:val="553E632F"/>
    <w:rsid w:val="55F068CD"/>
    <w:rsid w:val="566C3136"/>
    <w:rsid w:val="568D04F2"/>
    <w:rsid w:val="56E04EE6"/>
    <w:rsid w:val="588D6DD7"/>
    <w:rsid w:val="59682F71"/>
    <w:rsid w:val="5A526582"/>
    <w:rsid w:val="5A5F5C77"/>
    <w:rsid w:val="5B647768"/>
    <w:rsid w:val="5BBE39CD"/>
    <w:rsid w:val="5BC11A60"/>
    <w:rsid w:val="5C7A4D54"/>
    <w:rsid w:val="5CD23B73"/>
    <w:rsid w:val="5CDF354A"/>
    <w:rsid w:val="5E3873B6"/>
    <w:rsid w:val="5E8E347A"/>
    <w:rsid w:val="5EAC1B52"/>
    <w:rsid w:val="5F127819"/>
    <w:rsid w:val="5F63752A"/>
    <w:rsid w:val="5FAE6F6D"/>
    <w:rsid w:val="60F1503F"/>
    <w:rsid w:val="61025188"/>
    <w:rsid w:val="61057D5F"/>
    <w:rsid w:val="614D4977"/>
    <w:rsid w:val="63021D41"/>
    <w:rsid w:val="63C60FC0"/>
    <w:rsid w:val="649C61C5"/>
    <w:rsid w:val="64BA3D7A"/>
    <w:rsid w:val="64CE2822"/>
    <w:rsid w:val="64E831B8"/>
    <w:rsid w:val="64F179BC"/>
    <w:rsid w:val="64F47DAF"/>
    <w:rsid w:val="65C94C55"/>
    <w:rsid w:val="665704D3"/>
    <w:rsid w:val="668D04BB"/>
    <w:rsid w:val="673148E2"/>
    <w:rsid w:val="675445CD"/>
    <w:rsid w:val="67753429"/>
    <w:rsid w:val="67C065A4"/>
    <w:rsid w:val="67D359C9"/>
    <w:rsid w:val="689169E2"/>
    <w:rsid w:val="68FE36DD"/>
    <w:rsid w:val="694E60FC"/>
    <w:rsid w:val="69EF4042"/>
    <w:rsid w:val="6AD13942"/>
    <w:rsid w:val="6AD541DF"/>
    <w:rsid w:val="6B596BBE"/>
    <w:rsid w:val="6C101972"/>
    <w:rsid w:val="6C342BE3"/>
    <w:rsid w:val="6C410A63"/>
    <w:rsid w:val="6C675CE6"/>
    <w:rsid w:val="6CCF5389"/>
    <w:rsid w:val="6CEF35AF"/>
    <w:rsid w:val="6D4F4321"/>
    <w:rsid w:val="6D527D69"/>
    <w:rsid w:val="6DFF7360"/>
    <w:rsid w:val="6E7A5F73"/>
    <w:rsid w:val="6F2E3798"/>
    <w:rsid w:val="6FD74228"/>
    <w:rsid w:val="70FE5EDF"/>
    <w:rsid w:val="71633091"/>
    <w:rsid w:val="71A52B5D"/>
    <w:rsid w:val="73081CA5"/>
    <w:rsid w:val="744523D5"/>
    <w:rsid w:val="74545B7C"/>
    <w:rsid w:val="7487762D"/>
    <w:rsid w:val="75385498"/>
    <w:rsid w:val="76593F16"/>
    <w:rsid w:val="769962BD"/>
    <w:rsid w:val="76BC207F"/>
    <w:rsid w:val="76EB4904"/>
    <w:rsid w:val="777378F5"/>
    <w:rsid w:val="777A2D3C"/>
    <w:rsid w:val="78537BEA"/>
    <w:rsid w:val="79074B81"/>
    <w:rsid w:val="794F0939"/>
    <w:rsid w:val="79AF0FCA"/>
    <w:rsid w:val="79EF2560"/>
    <w:rsid w:val="79FA5A10"/>
    <w:rsid w:val="7A1F0FD2"/>
    <w:rsid w:val="7AF9279C"/>
    <w:rsid w:val="7CC51958"/>
    <w:rsid w:val="7CEC40B6"/>
    <w:rsid w:val="7E2936C3"/>
    <w:rsid w:val="7E2E365C"/>
    <w:rsid w:val="7E3D4BB2"/>
    <w:rsid w:val="7E5C45A3"/>
    <w:rsid w:val="7E6411B9"/>
    <w:rsid w:val="7EF03473"/>
    <w:rsid w:val="7F122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67"/>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72"/>
    <w:autoRedefine/>
    <w:qFormat/>
    <w:uiPriority w:val="0"/>
    <w:pPr>
      <w:keepNext/>
      <w:keepLines/>
      <w:spacing w:before="280" w:after="290" w:line="376" w:lineRule="auto"/>
      <w:outlineLvl w:val="3"/>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4">
    <w:name w:val="Í¼±íÕýÎÄ"/>
    <w:basedOn w:val="1"/>
    <w:next w:val="5"/>
    <w:qFormat/>
    <w:uiPriority w:val="0"/>
    <w:pPr>
      <w:ind w:firstLine="420" w:firstLineChars="200"/>
    </w:pPr>
    <w:rPr>
      <w:rFonts w:eastAsia="仿宋"/>
      <w:sz w:val="28"/>
    </w:rPr>
  </w:style>
  <w:style w:type="paragraph" w:styleId="5">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toc 7"/>
    <w:basedOn w:val="1"/>
    <w:next w:val="1"/>
    <w:unhideWhenUsed/>
    <w:qFormat/>
    <w:uiPriority w:val="39"/>
    <w:pPr>
      <w:ind w:left="1260"/>
      <w:jc w:val="left"/>
    </w:pPr>
    <w:rPr>
      <w:rFonts w:ascii="Calibri" w:hAnsi="Calibri" w:cs="Calibri"/>
      <w:sz w:val="18"/>
      <w:szCs w:val="18"/>
    </w:rPr>
  </w:style>
  <w:style w:type="paragraph" w:styleId="9">
    <w:name w:val="table of authorities"/>
    <w:basedOn w:val="1"/>
    <w:next w:val="1"/>
    <w:unhideWhenUsed/>
    <w:qFormat/>
    <w:uiPriority w:val="99"/>
    <w:pPr>
      <w:ind w:left="420" w:leftChars="200"/>
    </w:pPr>
  </w:style>
  <w:style w:type="paragraph" w:styleId="10">
    <w:name w:val="Document Map"/>
    <w:basedOn w:val="1"/>
    <w:next w:val="1"/>
    <w:qFormat/>
    <w:uiPriority w:val="0"/>
    <w:pPr>
      <w:shd w:val="clear" w:color="auto" w:fill="000080"/>
      <w:spacing w:line="360" w:lineRule="auto"/>
      <w:ind w:firstLine="562" w:firstLineChars="200"/>
    </w:pPr>
    <w:rPr>
      <w:sz w:val="28"/>
    </w:rPr>
  </w:style>
  <w:style w:type="paragraph" w:styleId="11">
    <w:name w:val="annotation text"/>
    <w:basedOn w:val="1"/>
    <w:link w:val="64"/>
    <w:autoRedefine/>
    <w:qFormat/>
    <w:uiPriority w:val="0"/>
    <w:pPr>
      <w:jc w:val="left"/>
    </w:pPr>
    <w:rPr>
      <w:rFonts w:ascii="Arial" w:hAnsi="Arial" w:eastAsia="黑体" w:cs="Arial"/>
    </w:rPr>
  </w:style>
  <w:style w:type="paragraph" w:styleId="12">
    <w:name w:val="Body Text"/>
    <w:basedOn w:val="1"/>
    <w:next w:val="13"/>
    <w:autoRedefine/>
    <w:qFormat/>
    <w:uiPriority w:val="0"/>
    <w:pPr>
      <w:spacing w:after="120"/>
    </w:pPr>
    <w:rPr>
      <w:rFonts w:ascii="@微软简标宋" w:hAnsi="@微软简标宋" w:eastAsia="@微软简标宋" w:cs="@微软简标宋"/>
      <w:szCs w:val="24"/>
      <w:lang w:val="zh-CN"/>
    </w:rPr>
  </w:style>
  <w:style w:type="paragraph" w:styleId="13">
    <w:name w:val="Body Text First Indent"/>
    <w:basedOn w:val="12"/>
    <w:next w:val="1"/>
    <w:autoRedefine/>
    <w:unhideWhenUsed/>
    <w:qFormat/>
    <w:uiPriority w:val="99"/>
    <w:pPr>
      <w:ind w:firstLine="420" w:firstLineChars="100"/>
    </w:pPr>
  </w:style>
  <w:style w:type="paragraph" w:styleId="14">
    <w:name w:val="Body Text Indent"/>
    <w:basedOn w:val="1"/>
    <w:next w:val="15"/>
    <w:unhideWhenUsed/>
    <w:qFormat/>
    <w:uiPriority w:val="0"/>
    <w:pPr>
      <w:spacing w:after="120"/>
      <w:ind w:left="420" w:leftChars="200"/>
    </w:pPr>
    <w:rPr>
      <w:rFonts w:asciiTheme="minorHAnsi" w:hAnsiTheme="minorHAnsi"/>
      <w:szCs w:val="22"/>
    </w:rPr>
  </w:style>
  <w:style w:type="paragraph" w:styleId="15">
    <w:name w:val="envelope return"/>
    <w:basedOn w:val="1"/>
    <w:qFormat/>
    <w:uiPriority w:val="0"/>
    <w:pPr>
      <w:snapToGrid w:val="0"/>
    </w:pPr>
    <w:rPr>
      <w:rFonts w:ascii="Arial" w:hAnsi="Arial"/>
    </w:rPr>
  </w:style>
  <w:style w:type="paragraph" w:styleId="16">
    <w:name w:val="index 4"/>
    <w:basedOn w:val="1"/>
    <w:next w:val="1"/>
    <w:qFormat/>
    <w:uiPriority w:val="0"/>
    <w:pPr>
      <w:ind w:left="600" w:leftChars="600"/>
    </w:pPr>
    <w:rPr>
      <w:rFonts w:ascii="Times New Roman" w:hAnsi="Times New Roman" w:eastAsia="宋体" w:cs="Times New Roman"/>
    </w:rPr>
  </w:style>
  <w:style w:type="paragraph" w:styleId="1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link w:val="54"/>
    <w:autoRedefine/>
    <w:qFormat/>
    <w:uiPriority w:val="99"/>
    <w:rPr>
      <w:rFonts w:ascii="宋体" w:hAnsi="Courier New" w:eastAsiaTheme="minorEastAsia" w:cstheme="minorBidi"/>
      <w:szCs w:val="22"/>
    </w:rPr>
  </w:style>
  <w:style w:type="paragraph" w:styleId="19">
    <w:name w:val="Date"/>
    <w:basedOn w:val="1"/>
    <w:next w:val="1"/>
    <w:link w:val="61"/>
    <w:autoRedefine/>
    <w:qFormat/>
    <w:uiPriority w:val="0"/>
    <w:rPr>
      <w:rFonts w:ascii="Arial" w:hAnsi="Arial" w:eastAsia="宋体" w:cs="Arial"/>
      <w:b/>
      <w:sz w:val="28"/>
    </w:rPr>
  </w:style>
  <w:style w:type="paragraph" w:styleId="20">
    <w:name w:val="Balloon Text"/>
    <w:basedOn w:val="1"/>
    <w:link w:val="48"/>
    <w:autoRedefine/>
    <w:semiHidden/>
    <w:unhideWhenUsed/>
    <w:qFormat/>
    <w:uiPriority w:val="99"/>
    <w:rPr>
      <w:sz w:val="18"/>
      <w:szCs w:val="18"/>
    </w:rPr>
  </w:style>
  <w:style w:type="paragraph" w:styleId="21">
    <w:name w:val="footer"/>
    <w:basedOn w:val="1"/>
    <w:link w:val="53"/>
    <w:autoRedefine/>
    <w:unhideWhenUsed/>
    <w:qFormat/>
    <w:uiPriority w:val="99"/>
    <w:pPr>
      <w:tabs>
        <w:tab w:val="center" w:pos="4153"/>
        <w:tab w:val="right" w:pos="8306"/>
      </w:tabs>
      <w:snapToGrid w:val="0"/>
      <w:jc w:val="left"/>
    </w:pPr>
    <w:rPr>
      <w:sz w:val="18"/>
      <w:szCs w:val="18"/>
    </w:rPr>
  </w:style>
  <w:style w:type="paragraph" w:styleId="22">
    <w:name w:val="header"/>
    <w:basedOn w:val="1"/>
    <w:link w:val="5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4">
    <w:name w:val="List"/>
    <w:basedOn w:val="1"/>
    <w:next w:val="1"/>
    <w:qFormat/>
    <w:uiPriority w:val="0"/>
    <w:pPr>
      <w:widowControl w:val="0"/>
      <w:spacing w:line="240" w:lineRule="auto"/>
      <w:ind w:left="420" w:hanging="420"/>
      <w:textAlignment w:val="auto"/>
    </w:pPr>
    <w:rPr>
      <w:rFonts w:ascii="Arial" w:hAnsi="Arial" w:eastAsia="楷体_GB2312"/>
      <w:color w:val="auto"/>
      <w:kern w:val="2"/>
      <w:sz w:val="28"/>
    </w:rPr>
  </w:style>
  <w:style w:type="paragraph" w:styleId="2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6">
    <w:name w:val="Normal (Web)"/>
    <w:basedOn w:val="1"/>
    <w:autoRedefine/>
    <w:qFormat/>
    <w:uiPriority w:val="0"/>
    <w:pPr>
      <w:spacing w:before="100" w:beforeAutospacing="1" w:after="100" w:afterAutospacing="1"/>
      <w:jc w:val="left"/>
    </w:pPr>
    <w:rPr>
      <w:rFonts w:cs="Times New Roman"/>
      <w:kern w:val="0"/>
      <w:sz w:val="24"/>
    </w:rPr>
  </w:style>
  <w:style w:type="paragraph" w:styleId="27">
    <w:name w:val="index 1"/>
    <w:basedOn w:val="1"/>
    <w:next w:val="1"/>
    <w:autoRedefine/>
    <w:qFormat/>
    <w:uiPriority w:val="0"/>
    <w:pPr>
      <w:jc w:val="center"/>
    </w:pPr>
    <w:rPr>
      <w:rFonts w:ascii="Arial" w:hAnsi="Arial" w:eastAsia="Arial" w:cs="Arial"/>
      <w:b/>
      <w:bCs/>
      <w:sz w:val="28"/>
    </w:rPr>
  </w:style>
  <w:style w:type="paragraph" w:styleId="28">
    <w:name w:val="Title"/>
    <w:basedOn w:val="1"/>
    <w:next w:val="1"/>
    <w:autoRedefine/>
    <w:qFormat/>
    <w:uiPriority w:val="0"/>
    <w:pPr>
      <w:numPr>
        <w:ilvl w:val="0"/>
        <w:numId w:val="1"/>
      </w:numPr>
      <w:spacing w:line="360" w:lineRule="auto"/>
      <w:jc w:val="left"/>
      <w:outlineLvl w:val="0"/>
    </w:pPr>
    <w:rPr>
      <w:rFonts w:ascii="Cambria" w:hAnsi="Cambria" w:cs="Times New Roman"/>
      <w:b/>
      <w:bCs/>
      <w:sz w:val="28"/>
      <w:szCs w:val="32"/>
    </w:rPr>
  </w:style>
  <w:style w:type="paragraph" w:styleId="29">
    <w:name w:val="annotation subject"/>
    <w:basedOn w:val="11"/>
    <w:next w:val="11"/>
    <w:link w:val="75"/>
    <w:autoRedefine/>
    <w:semiHidden/>
    <w:unhideWhenUsed/>
    <w:qFormat/>
    <w:uiPriority w:val="99"/>
    <w:rPr>
      <w:rFonts w:ascii="@仿宋_GB2312" w:hAnsi="@仿宋_GB2312" w:eastAsia="@仿宋_GB2312" w:cs="@仿宋_GB2312"/>
      <w:b/>
      <w:bCs/>
    </w:rPr>
  </w:style>
  <w:style w:type="paragraph" w:styleId="30">
    <w:name w:val="Body Text First Indent 2"/>
    <w:basedOn w:val="14"/>
    <w:next w:val="24"/>
    <w:autoRedefine/>
    <w:qFormat/>
    <w:uiPriority w:val="0"/>
    <w:pPr>
      <w:spacing w:line="360" w:lineRule="auto"/>
      <w:ind w:firstLine="200"/>
    </w:pPr>
  </w:style>
  <w:style w:type="table" w:styleId="32">
    <w:name w:val="Table Grid"/>
    <w:basedOn w:val="3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rPr>
  </w:style>
  <w:style w:type="character" w:styleId="35">
    <w:name w:val="FollowedHyperlink"/>
    <w:basedOn w:val="33"/>
    <w:autoRedefine/>
    <w:semiHidden/>
    <w:unhideWhenUsed/>
    <w:qFormat/>
    <w:uiPriority w:val="99"/>
    <w:rPr>
      <w:color w:val="5C5C5C"/>
      <w:u w:val="none"/>
    </w:rPr>
  </w:style>
  <w:style w:type="character" w:styleId="36">
    <w:name w:val="Emphasis"/>
    <w:basedOn w:val="33"/>
    <w:autoRedefine/>
    <w:qFormat/>
    <w:uiPriority w:val="20"/>
    <w:rPr>
      <w:b/>
      <w:bCs/>
    </w:rPr>
  </w:style>
  <w:style w:type="character" w:styleId="37">
    <w:name w:val="HTML Definition"/>
    <w:basedOn w:val="33"/>
    <w:autoRedefine/>
    <w:semiHidden/>
    <w:unhideWhenUsed/>
    <w:qFormat/>
    <w:uiPriority w:val="99"/>
  </w:style>
  <w:style w:type="character" w:styleId="38">
    <w:name w:val="HTML Typewriter"/>
    <w:basedOn w:val="33"/>
    <w:autoRedefine/>
    <w:semiHidden/>
    <w:unhideWhenUsed/>
    <w:qFormat/>
    <w:uiPriority w:val="99"/>
    <w:rPr>
      <w:rFonts w:hint="default" w:ascii="monospace" w:hAnsi="monospace" w:eastAsia="monospace" w:cs="monospace"/>
      <w:sz w:val="20"/>
    </w:rPr>
  </w:style>
  <w:style w:type="character" w:styleId="39">
    <w:name w:val="HTML Acronym"/>
    <w:basedOn w:val="33"/>
    <w:autoRedefine/>
    <w:semiHidden/>
    <w:unhideWhenUsed/>
    <w:qFormat/>
    <w:uiPriority w:val="99"/>
  </w:style>
  <w:style w:type="character" w:styleId="40">
    <w:name w:val="HTML Variable"/>
    <w:basedOn w:val="33"/>
    <w:autoRedefine/>
    <w:semiHidden/>
    <w:unhideWhenUsed/>
    <w:qFormat/>
    <w:uiPriority w:val="99"/>
  </w:style>
  <w:style w:type="character" w:styleId="41">
    <w:name w:val="Hyperlink"/>
    <w:basedOn w:val="33"/>
    <w:autoRedefine/>
    <w:unhideWhenUsed/>
    <w:qFormat/>
    <w:uiPriority w:val="99"/>
    <w:rPr>
      <w:color w:val="0000FF" w:themeColor="hyperlink"/>
      <w:u w:val="single"/>
      <w14:textFill>
        <w14:solidFill>
          <w14:schemeClr w14:val="hlink"/>
        </w14:solidFill>
      </w14:textFill>
    </w:rPr>
  </w:style>
  <w:style w:type="character" w:styleId="42">
    <w:name w:val="HTML Code"/>
    <w:basedOn w:val="33"/>
    <w:autoRedefine/>
    <w:semiHidden/>
    <w:unhideWhenUsed/>
    <w:qFormat/>
    <w:uiPriority w:val="99"/>
    <w:rPr>
      <w:rFonts w:hint="default" w:ascii="monospace" w:hAnsi="monospace" w:eastAsia="monospace" w:cs="monospace"/>
      <w:sz w:val="20"/>
    </w:rPr>
  </w:style>
  <w:style w:type="character" w:styleId="43">
    <w:name w:val="annotation reference"/>
    <w:basedOn w:val="33"/>
    <w:autoRedefine/>
    <w:semiHidden/>
    <w:unhideWhenUsed/>
    <w:qFormat/>
    <w:uiPriority w:val="99"/>
    <w:rPr>
      <w:sz w:val="21"/>
      <w:szCs w:val="21"/>
    </w:rPr>
  </w:style>
  <w:style w:type="character" w:styleId="44">
    <w:name w:val="HTML Cite"/>
    <w:basedOn w:val="33"/>
    <w:autoRedefine/>
    <w:semiHidden/>
    <w:unhideWhenUsed/>
    <w:qFormat/>
    <w:uiPriority w:val="99"/>
  </w:style>
  <w:style w:type="character" w:styleId="45">
    <w:name w:val="HTML Keyboard"/>
    <w:basedOn w:val="33"/>
    <w:semiHidden/>
    <w:unhideWhenUsed/>
    <w:qFormat/>
    <w:uiPriority w:val="99"/>
    <w:rPr>
      <w:rFonts w:hint="default" w:ascii="monospace" w:hAnsi="monospace" w:eastAsia="monospace" w:cs="monospace"/>
      <w:sz w:val="20"/>
    </w:rPr>
  </w:style>
  <w:style w:type="character" w:styleId="46">
    <w:name w:val="HTML Sample"/>
    <w:basedOn w:val="33"/>
    <w:autoRedefine/>
    <w:semiHidden/>
    <w:unhideWhenUsed/>
    <w:qFormat/>
    <w:uiPriority w:val="99"/>
    <w:rPr>
      <w:rFonts w:ascii="monospace" w:hAnsi="monospace" w:eastAsia="monospace" w:cs="monospace"/>
    </w:rPr>
  </w:style>
  <w:style w:type="paragraph" w:customStyle="1" w:styleId="47">
    <w:name w:val="表格文字"/>
    <w:basedOn w:val="14"/>
    <w:next w:val="12"/>
    <w:autoRedefine/>
    <w:qFormat/>
    <w:uiPriority w:val="0"/>
    <w:pPr>
      <w:ind w:firstLine="200"/>
    </w:pPr>
    <w:rPr>
      <w:rFonts w:ascii="Arial" w:hAnsi="Arial"/>
      <w:spacing w:val="-5"/>
      <w:kern w:val="0"/>
      <w:szCs w:val="20"/>
    </w:rPr>
  </w:style>
  <w:style w:type="character" w:customStyle="1" w:styleId="48">
    <w:name w:val="批注框文本 Char"/>
    <w:basedOn w:val="33"/>
    <w:link w:val="20"/>
    <w:autoRedefine/>
    <w:semiHidden/>
    <w:qFormat/>
    <w:uiPriority w:val="99"/>
    <w:rPr>
      <w:rFonts w:ascii="@仿宋_GB2312" w:hAnsi="@仿宋_GB2312" w:eastAsia="@仿宋_GB2312" w:cs="@仿宋_GB2312"/>
      <w:sz w:val="18"/>
      <w:szCs w:val="18"/>
    </w:rPr>
  </w:style>
  <w:style w:type="paragraph" w:customStyle="1" w:styleId="4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1">
    <w:name w:val="D&amp;L"/>
    <w:basedOn w:val="2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2">
    <w:name w:val="页眉 Char"/>
    <w:basedOn w:val="33"/>
    <w:link w:val="22"/>
    <w:autoRedefine/>
    <w:qFormat/>
    <w:uiPriority w:val="99"/>
    <w:rPr>
      <w:rFonts w:ascii="@仿宋_GB2312" w:hAnsi="@仿宋_GB2312" w:eastAsia="@仿宋_GB2312" w:cs="@仿宋_GB2312"/>
      <w:sz w:val="18"/>
      <w:szCs w:val="18"/>
    </w:rPr>
  </w:style>
  <w:style w:type="character" w:customStyle="1" w:styleId="53">
    <w:name w:val="页脚 Char"/>
    <w:basedOn w:val="33"/>
    <w:link w:val="21"/>
    <w:autoRedefine/>
    <w:qFormat/>
    <w:uiPriority w:val="99"/>
    <w:rPr>
      <w:rFonts w:ascii="@仿宋_GB2312" w:hAnsi="@仿宋_GB2312" w:eastAsia="@仿宋_GB2312" w:cs="@仿宋_GB2312"/>
      <w:sz w:val="18"/>
      <w:szCs w:val="18"/>
    </w:rPr>
  </w:style>
  <w:style w:type="character" w:customStyle="1" w:styleId="54">
    <w:name w:val="纯文本 Char"/>
    <w:link w:val="18"/>
    <w:autoRedefine/>
    <w:qFormat/>
    <w:uiPriority w:val="0"/>
    <w:rPr>
      <w:rFonts w:ascii="宋体" w:hAnsi="Courier New"/>
    </w:rPr>
  </w:style>
  <w:style w:type="character" w:customStyle="1" w:styleId="55">
    <w:name w:val="纯文本 字符1"/>
    <w:basedOn w:val="33"/>
    <w:autoRedefine/>
    <w:semiHidden/>
    <w:qFormat/>
    <w:uiPriority w:val="99"/>
    <w:rPr>
      <w:rFonts w:hAnsi="Courier New" w:cs="Courier New" w:asciiTheme="minorEastAsia"/>
      <w:szCs w:val="20"/>
    </w:rPr>
  </w:style>
  <w:style w:type="character" w:customStyle="1" w:styleId="56">
    <w:name w:val="未处理的提及1"/>
    <w:basedOn w:val="33"/>
    <w:autoRedefine/>
    <w:semiHidden/>
    <w:unhideWhenUsed/>
    <w:qFormat/>
    <w:uiPriority w:val="99"/>
    <w:rPr>
      <w:color w:val="605E5C"/>
      <w:shd w:val="clear" w:color="auto" w:fill="E1DFDD"/>
    </w:rPr>
  </w:style>
  <w:style w:type="paragraph" w:styleId="57">
    <w:name w:val="List Paragraph"/>
    <w:basedOn w:val="1"/>
    <w:autoRedefine/>
    <w:qFormat/>
    <w:uiPriority w:val="34"/>
    <w:pPr>
      <w:ind w:firstLine="420" w:firstLineChars="200"/>
    </w:pPr>
  </w:style>
  <w:style w:type="paragraph" w:customStyle="1" w:styleId="58">
    <w:name w:val="Char Char Char Char Char Char Char1 Char"/>
    <w:basedOn w:val="1"/>
    <w:autoRedefine/>
    <w:qFormat/>
    <w:uiPriority w:val="0"/>
    <w:rPr>
      <w:rFonts w:ascii="Arial" w:hAnsi="Arial" w:eastAsia="宋体" w:cs="Arial"/>
      <w:sz w:val="24"/>
    </w:rPr>
  </w:style>
  <w:style w:type="table" w:customStyle="1" w:styleId="59">
    <w:name w:val="网格表 1 浅色1"/>
    <w:basedOn w:val="3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日期 字符"/>
    <w:basedOn w:val="33"/>
    <w:autoRedefine/>
    <w:semiHidden/>
    <w:qFormat/>
    <w:uiPriority w:val="99"/>
    <w:rPr>
      <w:rFonts w:ascii="@仿宋_GB2312" w:hAnsi="@仿宋_GB2312" w:eastAsia="@仿宋_GB2312" w:cs="@仿宋_GB2312"/>
      <w:szCs w:val="20"/>
    </w:rPr>
  </w:style>
  <w:style w:type="character" w:customStyle="1" w:styleId="61">
    <w:name w:val="日期 Char"/>
    <w:link w:val="19"/>
    <w:autoRedefine/>
    <w:qFormat/>
    <w:uiPriority w:val="0"/>
    <w:rPr>
      <w:rFonts w:ascii="Arial" w:hAnsi="Arial" w:eastAsia="宋体" w:cs="Arial"/>
      <w:b/>
      <w:sz w:val="28"/>
      <w:szCs w:val="20"/>
    </w:rPr>
  </w:style>
  <w:style w:type="character" w:customStyle="1" w:styleId="62">
    <w:name w:val="纯文本 Char1"/>
    <w:autoRedefine/>
    <w:qFormat/>
    <w:locked/>
    <w:uiPriority w:val="99"/>
    <w:rPr>
      <w:rFonts w:ascii="Arial" w:hAnsi="Arial" w:eastAsia="Arial"/>
      <w:kern w:val="2"/>
      <w:sz w:val="21"/>
      <w:lang w:val="en-US" w:eastAsia="zh-CN" w:bidi="ar-SA"/>
    </w:rPr>
  </w:style>
  <w:style w:type="character" w:customStyle="1" w:styleId="63">
    <w:name w:val="批注文字 Char"/>
    <w:basedOn w:val="33"/>
    <w:autoRedefine/>
    <w:semiHidden/>
    <w:qFormat/>
    <w:uiPriority w:val="99"/>
    <w:rPr>
      <w:rFonts w:ascii="@仿宋_GB2312" w:hAnsi="@仿宋_GB2312" w:eastAsia="@仿宋_GB2312" w:cs="@仿宋_GB2312"/>
      <w:szCs w:val="20"/>
    </w:rPr>
  </w:style>
  <w:style w:type="character" w:customStyle="1" w:styleId="64">
    <w:name w:val="批注文字 Char1"/>
    <w:link w:val="11"/>
    <w:autoRedefine/>
    <w:qFormat/>
    <w:uiPriority w:val="0"/>
    <w:rPr>
      <w:rFonts w:ascii="Arial" w:hAnsi="Arial" w:eastAsia="黑体" w:cs="Arial"/>
      <w:szCs w:val="20"/>
    </w:rPr>
  </w:style>
  <w:style w:type="character" w:customStyle="1" w:styleId="65">
    <w:name w:val="标题 1 Char"/>
    <w:basedOn w:val="33"/>
    <w:link w:val="2"/>
    <w:autoRedefine/>
    <w:qFormat/>
    <w:uiPriority w:val="9"/>
    <w:rPr>
      <w:rFonts w:ascii="@仿宋_GB2312" w:hAnsi="@仿宋_GB2312" w:eastAsia="@仿宋_GB2312" w:cs="@仿宋_GB2312"/>
      <w:b/>
      <w:bCs/>
      <w:kern w:val="44"/>
      <w:sz w:val="44"/>
      <w:szCs w:val="44"/>
    </w:rPr>
  </w:style>
  <w:style w:type="paragraph" w:customStyle="1" w:styleId="6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7">
    <w:name w:val="标题 3 Char"/>
    <w:basedOn w:val="33"/>
    <w:link w:val="6"/>
    <w:autoRedefine/>
    <w:semiHidden/>
    <w:qFormat/>
    <w:uiPriority w:val="9"/>
    <w:rPr>
      <w:rFonts w:ascii="@仿宋_GB2312" w:hAnsi="@仿宋_GB2312" w:eastAsia="@仿宋_GB2312" w:cs="@仿宋_GB2312"/>
      <w:b/>
      <w:bCs/>
      <w:sz w:val="32"/>
      <w:szCs w:val="32"/>
    </w:rPr>
  </w:style>
  <w:style w:type="character" w:customStyle="1" w:styleId="68">
    <w:name w:val="fontstyle01"/>
    <w:basedOn w:val="33"/>
    <w:autoRedefine/>
    <w:qFormat/>
    <w:uiPriority w:val="0"/>
    <w:rPr>
      <w:rFonts w:hint="eastAsia" w:ascii="宋体" w:hAnsi="宋体" w:eastAsia="宋体"/>
      <w:color w:val="000000"/>
      <w:sz w:val="22"/>
      <w:szCs w:val="22"/>
    </w:rPr>
  </w:style>
  <w:style w:type="character" w:customStyle="1" w:styleId="69">
    <w:name w:val="fontstyle21"/>
    <w:basedOn w:val="33"/>
    <w:autoRedefine/>
    <w:qFormat/>
    <w:uiPriority w:val="0"/>
    <w:rPr>
      <w:rFonts w:hint="default" w:ascii="TimesNewRomanPSMT" w:hAnsi="TimesNewRomanPSMT"/>
      <w:color w:val="000000"/>
      <w:sz w:val="22"/>
      <w:szCs w:val="22"/>
    </w:rPr>
  </w:style>
  <w:style w:type="character" w:customStyle="1" w:styleId="7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71">
    <w:name w:val="标题 4 字符"/>
    <w:basedOn w:val="33"/>
    <w:autoRedefine/>
    <w:semiHidden/>
    <w:qFormat/>
    <w:uiPriority w:val="9"/>
    <w:rPr>
      <w:rFonts w:asciiTheme="majorHAnsi" w:hAnsiTheme="majorHAnsi" w:eastAsiaTheme="majorEastAsia" w:cstheme="majorBidi"/>
      <w:b/>
      <w:bCs/>
      <w:sz w:val="28"/>
      <w:szCs w:val="28"/>
    </w:rPr>
  </w:style>
  <w:style w:type="character" w:customStyle="1" w:styleId="72">
    <w:name w:val="标题 4 Char1"/>
    <w:link w:val="7"/>
    <w:autoRedefine/>
    <w:qFormat/>
    <w:uiPriority w:val="0"/>
    <w:rPr>
      <w:rFonts w:ascii="@仿宋_GB2312" w:hAnsi="@仿宋_GB2312" w:eastAsia="@仿宋_GB2312" w:cs="@仿宋_GB2312"/>
      <w:b/>
      <w:bCs/>
      <w:sz w:val="28"/>
      <w:szCs w:val="28"/>
    </w:rPr>
  </w:style>
  <w:style w:type="character" w:customStyle="1" w:styleId="73">
    <w:name w:val="标题 4 Char"/>
    <w:autoRedefine/>
    <w:qFormat/>
    <w:uiPriority w:val="0"/>
    <w:rPr>
      <w:rFonts w:ascii="Arial" w:hAnsi="Arial" w:eastAsia="Arial"/>
      <w:b/>
      <w:bCs/>
      <w:kern w:val="2"/>
      <w:sz w:val="28"/>
      <w:szCs w:val="28"/>
      <w:lang w:val="en-US" w:eastAsia="zh-CN" w:bidi="ar-SA"/>
    </w:rPr>
  </w:style>
  <w:style w:type="table" w:customStyle="1" w:styleId="74">
    <w:name w:val="网格型1"/>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5">
    <w:name w:val="批注主题 Char"/>
    <w:basedOn w:val="64"/>
    <w:link w:val="29"/>
    <w:autoRedefine/>
    <w:semiHidden/>
    <w:qFormat/>
    <w:uiPriority w:val="99"/>
    <w:rPr>
      <w:rFonts w:ascii="@仿宋_GB2312" w:hAnsi="@仿宋_GB2312" w:eastAsia="@仿宋_GB2312" w:cs="@仿宋_GB2312"/>
      <w:b/>
      <w:bCs/>
      <w:szCs w:val="20"/>
    </w:rPr>
  </w:style>
  <w:style w:type="table" w:customStyle="1" w:styleId="76">
    <w:name w:val="Table Normal"/>
    <w:autoRedefine/>
    <w:semiHidden/>
    <w:unhideWhenUsed/>
    <w:qFormat/>
    <w:uiPriority w:val="0"/>
    <w:tblPr>
      <w:tblCellMar>
        <w:top w:w="0" w:type="dxa"/>
        <w:left w:w="0" w:type="dxa"/>
        <w:bottom w:w="0" w:type="dxa"/>
        <w:right w:w="0" w:type="dxa"/>
      </w:tblCellMar>
    </w:tblPr>
  </w:style>
  <w:style w:type="paragraph" w:customStyle="1" w:styleId="77">
    <w:name w:val="Table Text"/>
    <w:basedOn w:val="1"/>
    <w:autoRedefine/>
    <w:semiHidden/>
    <w:qFormat/>
    <w:uiPriority w:val="0"/>
    <w:rPr>
      <w:rFonts w:ascii="Arial" w:hAnsi="Arial" w:eastAsia="Arial" w:cs="Arial"/>
      <w:szCs w:val="21"/>
      <w:lang w:eastAsia="en-US"/>
    </w:rPr>
  </w:style>
  <w:style w:type="paragraph" w:customStyle="1" w:styleId="78">
    <w:name w:val="正文样式"/>
    <w:basedOn w:val="30"/>
    <w:autoRedefine/>
    <w:qFormat/>
    <w:uiPriority w:val="0"/>
    <w:pPr>
      <w:autoSpaceDE w:val="0"/>
      <w:autoSpaceDN w:val="0"/>
      <w:adjustRightInd w:val="0"/>
      <w:spacing w:after="0"/>
      <w:ind w:left="0" w:leftChars="0"/>
      <w:jc w:val="left"/>
    </w:pPr>
    <w:rPr>
      <w:rFonts w:cs="宋体"/>
      <w:color w:val="000000"/>
      <w:lang w:val="zh-CN"/>
    </w:rPr>
  </w:style>
  <w:style w:type="character" w:customStyle="1" w:styleId="79">
    <w:name w:val="hover"/>
    <w:basedOn w:val="33"/>
    <w:autoRedefine/>
    <w:qFormat/>
    <w:uiPriority w:val="0"/>
  </w:style>
  <w:style w:type="character" w:customStyle="1" w:styleId="80">
    <w:name w:val="hover1"/>
    <w:basedOn w:val="33"/>
    <w:qFormat/>
    <w:uiPriority w:val="0"/>
    <w:rPr>
      <w:color w:val="2590EB"/>
    </w:rPr>
  </w:style>
  <w:style w:type="character" w:customStyle="1" w:styleId="81">
    <w:name w:val="hover2"/>
    <w:basedOn w:val="33"/>
    <w:autoRedefine/>
    <w:qFormat/>
    <w:uiPriority w:val="0"/>
    <w:rPr>
      <w:color w:val="2590EB"/>
    </w:rPr>
  </w:style>
  <w:style w:type="character" w:customStyle="1" w:styleId="82">
    <w:name w:val="hover3"/>
    <w:basedOn w:val="33"/>
    <w:autoRedefine/>
    <w:qFormat/>
    <w:uiPriority w:val="0"/>
    <w:rPr>
      <w:color w:val="2590EB"/>
      <w:shd w:val="clear" w:fill="E9F4FD"/>
    </w:rPr>
  </w:style>
  <w:style w:type="character" w:customStyle="1" w:styleId="83">
    <w:name w:val="hover4"/>
    <w:basedOn w:val="33"/>
    <w:autoRedefine/>
    <w:qFormat/>
    <w:uiPriority w:val="0"/>
    <w:rPr>
      <w:color w:val="2590EB"/>
      <w:shd w:val="clear" w:fill="E9F4FD"/>
    </w:rPr>
  </w:style>
  <w:style w:type="character" w:customStyle="1" w:styleId="84">
    <w:name w:val="layui-this"/>
    <w:basedOn w:val="33"/>
    <w:autoRedefine/>
    <w:qFormat/>
    <w:uiPriority w:val="0"/>
    <w:rPr>
      <w:bdr w:val="single" w:color="EEEEEE" w:sz="4" w:space="0"/>
      <w:shd w:val="clear" w:fill="FFFFFF"/>
    </w:rPr>
  </w:style>
  <w:style w:type="character" w:customStyle="1" w:styleId="85">
    <w:name w:val="first-child"/>
    <w:basedOn w:val="33"/>
    <w:autoRedefine/>
    <w:qFormat/>
    <w:uiPriority w:val="0"/>
  </w:style>
  <w:style w:type="paragraph" w:customStyle="1" w:styleId="86">
    <w:name w:val="UserStyle_0"/>
    <w:autoRedefine/>
    <w:qFormat/>
    <w:uiPriority w:val="0"/>
    <w:pPr>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B12B8C-C51D-4F88-84C2-0EF1B8532E3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26620</Words>
  <Characters>27721</Characters>
  <Lines>315</Lines>
  <Paragraphs>88</Paragraphs>
  <TotalTime>166</TotalTime>
  <ScaleCrop>false</ScaleCrop>
  <LinksUpToDate>false</LinksUpToDate>
  <CharactersWithSpaces>29705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Y</cp:lastModifiedBy>
  <cp:lastPrinted>2024-08-20T03:22:00Z</cp:lastPrinted>
  <dcterms:modified xsi:type="dcterms:W3CDTF">2024-08-20T07:37:02Z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C27638C98A454E2592C58757FD1301CA_13</vt:lpwstr>
  </property>
</Properties>
</file>