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027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E4BBF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2EFA1F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982E6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D48FC2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05A558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参照</w:t>
      </w:r>
      <w:r>
        <w:rPr>
          <w:rFonts w:hint="eastAsia" w:ascii="宋体" w:hAnsi="宋体" w:eastAsia="宋体"/>
          <w:b/>
          <w:bCs/>
          <w:color w:val="auto"/>
          <w:sz w:val="52"/>
          <w:szCs w:val="52"/>
          <w:highlight w:val="none"/>
          <w:lang w:eastAsia="zh-CN"/>
        </w:rPr>
        <w:t>）</w:t>
      </w:r>
    </w:p>
    <w:p w14:paraId="76F94D9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4ECBA7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FDAC77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61267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56235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96A0B6">
      <w:pPr>
        <w:tabs>
          <w:tab w:val="left" w:pos="2410"/>
        </w:tabs>
        <w:autoSpaceDE w:val="0"/>
        <w:autoSpaceDN w:val="0"/>
        <w:adjustRightInd w:val="0"/>
        <w:snapToGrid w:val="0"/>
        <w:spacing w:line="360" w:lineRule="auto"/>
        <w:ind w:left="-402" w:leftChars="-200" w:right="-512" w:rightChars="-244" w:hanging="18" w:hangingChars="5"/>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滁州技师学院2025年国赛计算机采购项目（二次）（二次）</w:t>
      </w:r>
    </w:p>
    <w:p w14:paraId="7688762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4AC8E60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安徽百士德工程咨询有限公司</w:t>
      </w:r>
    </w:p>
    <w:p w14:paraId="3A98A3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BA6DF5C">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05BC1EC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1683262">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HYPERLINK \l _Toc22972 </w:instrText>
      </w:r>
      <w:r>
        <w:rPr>
          <w:rFonts w:asciiTheme="minorEastAsia" w:hAnsi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_Toc22972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color w:val="auto"/>
          <w:sz w:val="28"/>
          <w:szCs w:val="28"/>
          <w:highlight w:val="none"/>
        </w:rPr>
        <w:fldChar w:fldCharType="end"/>
      </w:r>
    </w:p>
    <w:p w14:paraId="5952C3AC">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_Toc22763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_Toc22763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F46C094">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_Toc23609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_Toc23609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458844">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_Toc4269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_Toc4269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AA0E3ED">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_Toc13673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_Toc13673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051B01">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_Toc18781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_Toc18781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B101772">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_Toc28085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w:t>
      </w:r>
      <w:r>
        <w:rPr>
          <w:rFonts w:hint="eastAsia" w:ascii="宋体" w:hAnsi="宋体" w:eastAsia="宋体"/>
          <w:bCs/>
          <w:color w:val="auto"/>
          <w:sz w:val="28"/>
          <w:szCs w:val="28"/>
          <w:highlight w:val="none"/>
          <w:lang w:val="en-US" w:eastAsia="zh-CN"/>
        </w:rPr>
        <w:t xml:space="preserve"> </w:t>
      </w:r>
      <w:r>
        <w:rPr>
          <w:rFonts w:hint="eastAsia" w:ascii="宋体" w:hAnsi="宋体" w:eastAsia="宋体"/>
          <w:bCs/>
          <w:color w:val="auto"/>
          <w:sz w:val="28"/>
          <w:szCs w:val="28"/>
          <w:highlight w:val="none"/>
        </w:rPr>
        <w:t>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_Toc28085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615A4F1">
      <w:pPr>
        <w:keepNext w:val="0"/>
        <w:keepLines w:val="0"/>
        <w:pageBreakBefore w:val="0"/>
        <w:kinsoku/>
        <w:wordWrap/>
        <w:overflowPunct/>
        <w:topLinePunct w:val="0"/>
        <w:autoSpaceDE/>
        <w:autoSpaceDN/>
        <w:bidi w:val="0"/>
        <w:adjustRightInd/>
        <w:snapToGrid/>
        <w:spacing w:after="120"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4944E2B0">
      <w:pPr>
        <w:pStyle w:val="8"/>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FC4F3E">
      <w:pPr>
        <w:spacing w:line="360" w:lineRule="auto"/>
        <w:jc w:val="center"/>
        <w:outlineLvl w:val="0"/>
        <w:rPr>
          <w:rFonts w:asciiTheme="minorEastAsia" w:hAnsiTheme="minorEastAsia" w:eastAsiaTheme="minorEastAsia"/>
          <w:b/>
          <w:color w:val="auto"/>
          <w:sz w:val="28"/>
          <w:highlight w:val="none"/>
        </w:rPr>
      </w:pPr>
      <w:bookmarkStart w:id="0" w:name="_Toc2297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0"/>
    </w:p>
    <w:p w14:paraId="04C5BAE5">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027DFB86">
      <w:pPr>
        <w:keepNext w:val="0"/>
        <w:keepLines w:val="0"/>
        <w:widowControl w:val="0"/>
        <w:suppressLineNumbers w:val="0"/>
        <w:wordWrap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bCs w:val="0"/>
          <w:color w:val="auto"/>
          <w:kern w:val="2"/>
          <w:sz w:val="28"/>
          <w:szCs w:val="28"/>
          <w:highlight w:val="none"/>
        </w:rPr>
      </w:pPr>
      <w:r>
        <w:rPr>
          <w:rFonts w:hint="eastAsia" w:ascii="宋体" w:hAnsi="宋体" w:eastAsia="宋体" w:cs="宋体"/>
          <w:color w:val="auto"/>
          <w:kern w:val="2"/>
          <w:sz w:val="24"/>
          <w:szCs w:val="24"/>
          <w:highlight w:val="none"/>
          <w:u w:val="single"/>
          <w:lang w:val="en-US" w:eastAsia="zh-CN" w:bidi="ar"/>
        </w:rPr>
        <w:t>滁州技师学院2025年国赛计算机采购项目（二次）</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滁州市机电工程学校官网（http://www.cztc.edu.cn/）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2025年</w:t>
      </w:r>
      <w:r>
        <w:rPr>
          <w:rFonts w:hint="eastAsia" w:ascii="宋体" w:hAnsi="宋体" w:eastAsia="宋体" w:cs="@仿宋_GB2312"/>
          <w:color w:val="auto"/>
          <w:kern w:val="2"/>
          <w:sz w:val="24"/>
          <w:szCs w:val="24"/>
          <w:highlight w:val="none"/>
          <w:u w:val="single"/>
          <w:lang w:val="en-US" w:eastAsia="zh-CN" w:bidi="ar"/>
        </w:rPr>
        <w:t>8</w:t>
      </w:r>
      <w:r>
        <w:rPr>
          <w:rFonts w:hint="eastAsia" w:ascii="宋体" w:hAnsi="宋体" w:eastAsia="宋体" w:cs="宋体"/>
          <w:color w:val="auto"/>
          <w:kern w:val="2"/>
          <w:sz w:val="24"/>
          <w:szCs w:val="24"/>
          <w:highlight w:val="none"/>
          <w:u w:val="single"/>
          <w:lang w:val="en-US" w:eastAsia="zh-CN" w:bidi="ar"/>
        </w:rPr>
        <w:t>月1日9点30分</w:t>
      </w:r>
      <w:r>
        <w:rPr>
          <w:rFonts w:hint="eastAsia" w:ascii="宋体" w:hAnsi="宋体" w:eastAsia="宋体" w:cs="宋体"/>
          <w:color w:val="auto"/>
          <w:kern w:val="2"/>
          <w:sz w:val="24"/>
          <w:szCs w:val="24"/>
          <w:highlight w:val="none"/>
          <w:lang w:val="en-US" w:eastAsia="zh-CN" w:bidi="ar"/>
        </w:rPr>
        <w:t>（北京时间）前递交投标文件。</w:t>
      </w:r>
    </w:p>
    <w:p w14:paraId="4C34ACF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一、项目基本情况</w:t>
      </w:r>
    </w:p>
    <w:p w14:paraId="3CCC0D5F">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项目名称：滁州技师学院2025年国赛计算机采购项目（二次）</w:t>
      </w:r>
    </w:p>
    <w:p w14:paraId="36940947">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预算金额：29.6万元</w:t>
      </w:r>
    </w:p>
    <w:p w14:paraId="147B413D">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最高限价：</w:t>
      </w:r>
      <w:r>
        <w:rPr>
          <w:rFonts w:hint="eastAsia" w:ascii="宋体" w:hAnsi="宋体" w:eastAsia="宋体" w:cs="宋体"/>
          <w:b w:val="0"/>
          <w:bCs w:val="0"/>
          <w:color w:val="auto"/>
          <w:kern w:val="2"/>
          <w:sz w:val="24"/>
          <w:szCs w:val="24"/>
          <w:highlight w:val="none"/>
          <w:lang w:val="en-US" w:eastAsia="zh-CN" w:bidi="ar"/>
        </w:rPr>
        <w:t>29.6万元</w:t>
      </w:r>
      <w:r>
        <w:rPr>
          <w:rFonts w:hint="eastAsia" w:ascii="宋体" w:hAnsi="宋体" w:eastAsia="宋体" w:cs="宋体"/>
          <w:color w:val="auto"/>
          <w:kern w:val="2"/>
          <w:sz w:val="24"/>
          <w:szCs w:val="24"/>
          <w:highlight w:val="none"/>
          <w:lang w:val="en-US" w:eastAsia="zh-CN" w:bidi="ar"/>
        </w:rPr>
        <w:t>，投标报价不得高于最高限价，否则其投标文件按无效投标处理。</w:t>
      </w:r>
    </w:p>
    <w:p w14:paraId="36411EB3">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采购需求：详见招标文件第三章采购需求。</w:t>
      </w:r>
    </w:p>
    <w:p w14:paraId="58AC9DC4">
      <w:pPr>
        <w:keepNext w:val="0"/>
        <w:keepLines w:val="0"/>
        <w:widowControl w:val="0"/>
        <w:suppressLineNumbers w:val="0"/>
        <w:spacing w:before="0" w:beforeAutospacing="0" w:after="0" w:afterAutospacing="0" w:line="360" w:lineRule="auto"/>
        <w:ind w:left="0" w:right="0" w:firstLine="240" w:firstLineChars="100"/>
        <w:jc w:val="left"/>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合同履行期限：自合同签订之日起</w:t>
      </w:r>
      <w:r>
        <w:rPr>
          <w:rFonts w:hint="eastAsia" w:ascii="宋体" w:hAnsi="宋体" w:eastAsia="宋体" w:cs="宋体"/>
          <w:b w:val="0"/>
          <w:bCs w:val="0"/>
          <w:color w:val="auto"/>
          <w:kern w:val="2"/>
          <w:sz w:val="24"/>
          <w:szCs w:val="24"/>
          <w:highlight w:val="none"/>
          <w:lang w:val="en-US" w:eastAsia="zh-CN" w:bidi="ar"/>
        </w:rPr>
        <w:t>10个日历天内</w:t>
      </w:r>
      <w:r>
        <w:rPr>
          <w:rFonts w:hint="eastAsia" w:ascii="宋体" w:hAnsi="宋体" w:eastAsia="宋体" w:cs="宋体"/>
          <w:color w:val="auto"/>
          <w:kern w:val="2"/>
          <w:sz w:val="24"/>
          <w:szCs w:val="24"/>
          <w:highlight w:val="none"/>
          <w:lang w:val="en-US" w:eastAsia="zh-CN" w:bidi="ar"/>
        </w:rPr>
        <w:t>完成供货、安装及调试完毕。</w:t>
      </w:r>
    </w:p>
    <w:p w14:paraId="2894885B">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本项目不接受联合体投标。</w:t>
      </w:r>
    </w:p>
    <w:p w14:paraId="7F40AA1B">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二、申请人的资格要求</w:t>
      </w:r>
    </w:p>
    <w:p w14:paraId="55251AA5">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1.供应商须具有有效的营业执照；</w:t>
      </w:r>
    </w:p>
    <w:p w14:paraId="0B4B3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2.信誉要求：投标人不得存在以下情形：</w:t>
      </w:r>
    </w:p>
    <w:p w14:paraId="74258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300B5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1B152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5CCDB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23794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6751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573F1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5D4E6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3.投标人所属分公司、办事处等分支机构存在第4款信誉要求①-⑦项情形之一的，接受投标人参加本项目。</w:t>
      </w:r>
    </w:p>
    <w:p w14:paraId="66B6C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备注：第2、3条按照“关于联合惩戒失信行为加强信用查询管理的通知”查询或承诺。</w:t>
      </w:r>
    </w:p>
    <w:p w14:paraId="387605C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三、获取招标文件</w:t>
      </w:r>
    </w:p>
    <w:p w14:paraId="560ADFF1">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i/>
          <w:i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时间：2025年7月25日至2025年8月1日</w:t>
      </w:r>
    </w:p>
    <w:p w14:paraId="4CFD6EC3">
      <w:pPr>
        <w:keepNext w:val="0"/>
        <w:keepLines w:val="0"/>
        <w:widowControl w:val="0"/>
        <w:suppressLineNumbers w:val="0"/>
        <w:wordWrap w:val="0"/>
        <w:autoSpaceDE w:val="0"/>
        <w:autoSpaceDN/>
        <w:spacing w:before="0" w:beforeAutospacing="0" w:after="0" w:afterAutospacing="0" w:line="360" w:lineRule="auto"/>
        <w:ind w:left="0" w:right="0" w:firstLine="539"/>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地点：滁州市机电工程学校官网</w:t>
      </w:r>
    </w:p>
    <w:p w14:paraId="13FE13BC">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方式：网上自行下载</w:t>
      </w:r>
    </w:p>
    <w:p w14:paraId="7DDE8618">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四、开标时间和地点</w:t>
      </w:r>
    </w:p>
    <w:p w14:paraId="0BD880F2">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i w:val="0"/>
          <w:iCs w:val="0"/>
          <w:color w:val="auto"/>
          <w:spacing w:val="0"/>
          <w:kern w:val="2"/>
          <w:sz w:val="24"/>
          <w:szCs w:val="24"/>
          <w:highlight w:val="none"/>
          <w:shd w:val="clear" w:fill="FFFFFF"/>
          <w:lang w:val="en-US" w:eastAsia="zh-CN" w:bidi="ar"/>
        </w:rPr>
        <w:t>开标时间：</w:t>
      </w:r>
      <w:r>
        <w:rPr>
          <w:rFonts w:hint="eastAsia" w:ascii="宋体" w:hAnsi="宋体" w:eastAsia="宋体" w:cs="宋体"/>
          <w:bCs/>
          <w:color w:val="auto"/>
          <w:kern w:val="2"/>
          <w:sz w:val="24"/>
          <w:szCs w:val="24"/>
          <w:highlight w:val="none"/>
          <w:lang w:val="en-US" w:eastAsia="zh-CN" w:bidi="ar"/>
        </w:rPr>
        <w:t>2025年8月1日9点30分（北京时间）</w:t>
      </w:r>
    </w:p>
    <w:p w14:paraId="51C72F29">
      <w:pPr>
        <w:keepNext w:val="0"/>
        <w:keepLines w:val="0"/>
        <w:widowControl w:val="0"/>
        <w:suppressLineNumbers w:val="0"/>
        <w:autoSpaceDE w:val="0"/>
        <w:autoSpaceDN/>
        <w:spacing w:before="0" w:beforeAutospacing="0" w:after="0" w:afterAutospacing="0" w:line="360" w:lineRule="auto"/>
        <w:ind w:right="0" w:firstLine="480" w:firstLineChars="200"/>
        <w:jc w:val="both"/>
        <w:outlineLvl w:val="9"/>
        <w:rPr>
          <w:rFonts w:hint="default" w:ascii="宋体" w:hAnsi="宋体" w:eastAsia="宋体" w:cs="@仿宋_GB2312"/>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地点：安徽百士德工程咨询有限公司一楼会议室（滁州市会峰西路72-11号）</w:t>
      </w:r>
    </w:p>
    <w:p w14:paraId="209390C6">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五、公告期限</w:t>
      </w:r>
    </w:p>
    <w:p w14:paraId="661575D9">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自本公告发布之日起5个工作日。</w:t>
      </w:r>
    </w:p>
    <w:p w14:paraId="4B70D60B">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六、投标保证金</w:t>
      </w:r>
    </w:p>
    <w:p w14:paraId="1129FF1B">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不要求</w:t>
      </w:r>
    </w:p>
    <w:p w14:paraId="23E6D7D1">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七、其他补充事宜</w:t>
      </w:r>
    </w:p>
    <w:p w14:paraId="042822DA">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无</w:t>
      </w:r>
    </w:p>
    <w:p w14:paraId="3B7478A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八、对本次招标提出询问，请按以下方式联系</w:t>
      </w:r>
    </w:p>
    <w:p w14:paraId="1CF4F7E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075D532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滁州市机电工程学校</w:t>
      </w:r>
    </w:p>
    <w:p w14:paraId="71D33116">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安徽省滁州市丰乐大道2238号</w:t>
      </w:r>
    </w:p>
    <w:p w14:paraId="2A46FB9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李老师</w:t>
      </w:r>
    </w:p>
    <w:p w14:paraId="0FB7BEE8">
      <w:pPr>
        <w:keepNext w:val="0"/>
        <w:keepLines w:val="0"/>
        <w:widowControl w:val="0"/>
        <w:suppressLineNumbers w:val="0"/>
        <w:spacing w:before="0" w:beforeAutospacing="0" w:after="0" w:afterAutospacing="0" w:line="360" w:lineRule="auto"/>
        <w:ind w:left="0" w:right="0" w:firstLine="435"/>
        <w:jc w:val="both"/>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15855014401</w:t>
      </w:r>
    </w:p>
    <w:p w14:paraId="2577FC1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59AA4729">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安徽百士德工程咨询有限公司</w:t>
      </w:r>
    </w:p>
    <w:p w14:paraId="55DB799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滁州市会峰西路72-11号</w:t>
      </w:r>
    </w:p>
    <w:p w14:paraId="6FDFD151">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吕倩</w:t>
      </w:r>
    </w:p>
    <w:p w14:paraId="6525FD3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15178499373</w:t>
      </w:r>
    </w:p>
    <w:p w14:paraId="14DFD6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5750EF7">
      <w:pPr>
        <w:spacing w:line="360" w:lineRule="auto"/>
        <w:jc w:val="center"/>
        <w:outlineLvl w:val="0"/>
        <w:rPr>
          <w:rFonts w:asciiTheme="minorEastAsia" w:hAnsiTheme="minorEastAsia" w:eastAsiaTheme="minorEastAsia"/>
          <w:b/>
          <w:color w:val="auto"/>
          <w:sz w:val="28"/>
          <w:highlight w:val="none"/>
        </w:rPr>
      </w:pPr>
      <w:bookmarkStart w:id="1" w:name="_Toc2276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
    </w:p>
    <w:p w14:paraId="1D0E99F5">
      <w:pPr>
        <w:spacing w:line="360" w:lineRule="auto"/>
        <w:jc w:val="center"/>
        <w:outlineLvl w:val="9"/>
        <w:rPr>
          <w:rFonts w:asciiTheme="minorEastAsia" w:hAnsiTheme="minorEastAsia" w:eastAsiaTheme="minorEastAsia"/>
          <w:b/>
          <w:color w:val="auto"/>
          <w:sz w:val="24"/>
          <w:highlight w:val="none"/>
        </w:rPr>
      </w:pPr>
      <w:bookmarkStart w:id="2" w:name="_Toc3114"/>
      <w:bookmarkStart w:id="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
      <w:bookmarkEnd w:id="3"/>
    </w:p>
    <w:p w14:paraId="0978B160">
      <w:pPr>
        <w:spacing w:line="360" w:lineRule="auto"/>
        <w:ind w:firstLine="435"/>
        <w:outlineLvl w:val="9"/>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718"/>
        <w:gridCol w:w="6695"/>
      </w:tblGrid>
      <w:tr w14:paraId="2F6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865F332">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907" w:type="pct"/>
            <w:vAlign w:val="center"/>
          </w:tcPr>
          <w:p w14:paraId="7620405C">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535" w:type="pct"/>
            <w:vAlign w:val="center"/>
          </w:tcPr>
          <w:p w14:paraId="7AB68C35">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74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4BFB036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07" w:type="pct"/>
            <w:vAlign w:val="center"/>
          </w:tcPr>
          <w:p w14:paraId="33E1A29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35" w:type="pct"/>
            <w:vAlign w:val="center"/>
          </w:tcPr>
          <w:p w14:paraId="1D8D4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95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F60A2FB">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907" w:type="pct"/>
            <w:vAlign w:val="center"/>
          </w:tcPr>
          <w:p w14:paraId="590F3B1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535" w:type="pct"/>
            <w:vAlign w:val="center"/>
          </w:tcPr>
          <w:p w14:paraId="28B500AD">
            <w:pPr>
              <w:pStyle w:val="3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bCs w:val="0"/>
                <w:color w:val="auto"/>
                <w:sz w:val="24"/>
                <w:highlight w:val="none"/>
                <w:lang w:eastAsia="zh-CN"/>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如投标人对招标文件有疑问，请于2025年7月28日15时前，投标人将所遇到的问题以电子邮件形式传至1225240102@qq.com（邮箱）；</w:t>
            </w:r>
          </w:p>
        </w:tc>
      </w:tr>
      <w:tr w14:paraId="1F3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77A462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6.2</w:t>
            </w:r>
          </w:p>
        </w:tc>
        <w:tc>
          <w:tcPr>
            <w:tcW w:w="907" w:type="pct"/>
            <w:vAlign w:val="center"/>
          </w:tcPr>
          <w:p w14:paraId="3A8F5B7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535" w:type="pct"/>
            <w:vAlign w:val="center"/>
          </w:tcPr>
          <w:p w14:paraId="2D66221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答疑、澄清内容于2025年7月29日15 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2E8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863B9A0">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907" w:type="pct"/>
            <w:vAlign w:val="center"/>
          </w:tcPr>
          <w:p w14:paraId="35FCECA2">
            <w:pPr>
              <w:pStyle w:val="33"/>
              <w:widowControl w:val="0"/>
              <w:spacing w:before="0" w:beforeAutospacing="0" w:after="0" w:afterAutospacing="0"/>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535" w:type="pct"/>
            <w:vAlign w:val="center"/>
          </w:tcPr>
          <w:p w14:paraId="3AF073E8">
            <w:pPr>
              <w:pStyle w:val="33"/>
              <w:widowControl w:val="0"/>
              <w:spacing w:before="0" w:beforeAutospacing="0" w:after="0" w:afterAutospacing="0"/>
              <w:jc w:val="both"/>
              <w:outlineLvl w:val="9"/>
              <w:rPr>
                <w:rFonts w:ascii="宋体" w:hAnsi="宋体" w:eastAsia="宋体"/>
                <w:b w:val="0"/>
                <w:color w:val="auto"/>
                <w:sz w:val="24"/>
                <w:highlight w:val="none"/>
                <w:u w:val="single"/>
              </w:rPr>
            </w:pPr>
            <w:r>
              <w:rPr>
                <w:rFonts w:ascii="宋体" w:hAnsi="宋体" w:eastAsia="宋体"/>
                <w:b w:val="0"/>
                <w:color w:val="auto"/>
                <w:sz w:val="24"/>
                <w:highlight w:val="none"/>
              </w:rPr>
              <w:t xml:space="preserve">不分包    </w:t>
            </w:r>
          </w:p>
        </w:tc>
      </w:tr>
      <w:tr w14:paraId="474E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7" w:type="pct"/>
            <w:vAlign w:val="center"/>
          </w:tcPr>
          <w:p w14:paraId="294648E7">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907" w:type="pct"/>
            <w:vAlign w:val="center"/>
          </w:tcPr>
          <w:p w14:paraId="51EF6315">
            <w:pPr>
              <w:pStyle w:val="33"/>
              <w:widowControl w:val="0"/>
              <w:spacing w:before="0" w:beforeAutospacing="0" w:after="0" w:afterAutospacing="0" w:line="360" w:lineRule="auto"/>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535" w:type="pct"/>
            <w:vAlign w:val="center"/>
          </w:tcPr>
          <w:p w14:paraId="6323093D">
            <w:pPr>
              <w:spacing w:line="360" w:lineRule="auto"/>
              <w:outlineLvl w:val="9"/>
              <w:rPr>
                <w:color w:val="auto"/>
                <w:highlight w:val="none"/>
              </w:rPr>
            </w:pPr>
            <w:r>
              <w:rPr>
                <w:rFonts w:hint="eastAsia" w:ascii="宋体" w:hAnsi="宋体" w:eastAsia="宋体"/>
                <w:bCs/>
                <w:color w:val="auto"/>
                <w:kern w:val="0"/>
                <w:sz w:val="24"/>
                <w:szCs w:val="28"/>
                <w:highlight w:val="none"/>
              </w:rPr>
              <w:t>不收取</w:t>
            </w:r>
          </w:p>
        </w:tc>
      </w:tr>
      <w:tr w14:paraId="01DF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66CAF54D">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907" w:type="pct"/>
            <w:vAlign w:val="center"/>
          </w:tcPr>
          <w:p w14:paraId="35213FC2">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535" w:type="pct"/>
            <w:vAlign w:val="center"/>
          </w:tcPr>
          <w:p w14:paraId="6C085DB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B1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68ACD7A">
            <w:pPr>
              <w:pStyle w:val="34"/>
              <w:pBdr>
                <w:bottom w:val="none" w:color="auto" w:sz="0" w:space="0"/>
              </w:pBdr>
              <w:tabs>
                <w:tab w:val="clear" w:pos="4153"/>
                <w:tab w:val="clear" w:pos="8306"/>
              </w:tabs>
              <w:adjustRightInd/>
              <w:spacing w:line="240" w:lineRule="auto"/>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907" w:type="pct"/>
            <w:vAlign w:val="center"/>
          </w:tcPr>
          <w:p w14:paraId="25DF3470">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投标文件份数</w:t>
            </w:r>
          </w:p>
        </w:tc>
        <w:tc>
          <w:tcPr>
            <w:tcW w:w="3535" w:type="pct"/>
            <w:vAlign w:val="center"/>
          </w:tcPr>
          <w:p w14:paraId="3EC564CF">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default"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bCs w:val="0"/>
                <w:color w:val="auto"/>
                <w:kern w:val="2"/>
                <w:sz w:val="24"/>
                <w:szCs w:val="24"/>
                <w:highlight w:val="none"/>
                <w:lang w:val="en-US" w:eastAsia="zh-CN" w:bidi="ar-SA"/>
              </w:rPr>
              <w:t>资信证明文件正本1份，副本2份；技术标文件正本1份，副本2份；商务标文件正本1份，副本2份。</w:t>
            </w:r>
          </w:p>
        </w:tc>
      </w:tr>
      <w:tr w14:paraId="36AB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063842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12.2</w:t>
            </w:r>
          </w:p>
        </w:tc>
        <w:tc>
          <w:tcPr>
            <w:tcW w:w="907" w:type="pct"/>
            <w:vAlign w:val="center"/>
          </w:tcPr>
          <w:p w14:paraId="32A80F67">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highlight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535" w:type="pct"/>
            <w:vAlign w:val="center"/>
          </w:tcPr>
          <w:p w14:paraId="2CB73423">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文件袋内，否则其投标文件将被拒收。</w:t>
            </w:r>
          </w:p>
        </w:tc>
      </w:tr>
      <w:tr w14:paraId="7D79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A44F642">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907" w:type="pct"/>
            <w:vAlign w:val="center"/>
          </w:tcPr>
          <w:p w14:paraId="00ED8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val="en-US" w:eastAsia="zh-CN"/>
              </w:rPr>
            </w:pPr>
            <w:r>
              <w:rPr>
                <w:rFonts w:hint="eastAsia" w:ascii="宋体" w:hAnsi="宋体" w:eastAsia="宋体" w:cs="宋体"/>
                <w:color w:val="auto"/>
                <w:sz w:val="24"/>
                <w:szCs w:val="24"/>
                <w:highlight w:val="none"/>
              </w:rPr>
              <w:t>投标文件封套上应载明的信息</w:t>
            </w:r>
          </w:p>
        </w:tc>
        <w:tc>
          <w:tcPr>
            <w:tcW w:w="3535" w:type="pct"/>
            <w:vAlign w:val="center"/>
          </w:tcPr>
          <w:p w14:paraId="39676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1108F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42C95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DAEA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0759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BD6B4D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907" w:type="pct"/>
            <w:vAlign w:val="center"/>
          </w:tcPr>
          <w:p w14:paraId="72292FA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535" w:type="pct"/>
            <w:vAlign w:val="center"/>
          </w:tcPr>
          <w:p w14:paraId="29592FD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508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B2B128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907" w:type="pct"/>
            <w:vAlign w:val="center"/>
          </w:tcPr>
          <w:p w14:paraId="5BBDAB0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535" w:type="pct"/>
            <w:vAlign w:val="center"/>
          </w:tcPr>
          <w:p w14:paraId="708C446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312D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AC4A26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907" w:type="pct"/>
            <w:vAlign w:val="center"/>
          </w:tcPr>
          <w:p w14:paraId="0C7AFC0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535" w:type="pct"/>
            <w:vAlign w:val="center"/>
          </w:tcPr>
          <w:p w14:paraId="11801A3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u w:val="single"/>
              </w:rPr>
            </w:pPr>
            <w:r>
              <w:rPr>
                <w:rFonts w:hint="eastAsia" w:ascii="宋体" w:hAnsi="宋体" w:eastAsia="宋体" w:cs="宋体"/>
                <w:b w:val="0"/>
                <w:bCs w:val="0"/>
                <w:color w:val="auto"/>
                <w:sz w:val="24"/>
                <w:szCs w:val="24"/>
                <w:highlight w:val="none"/>
                <w:lang w:val="en-US" w:eastAsia="zh-CN"/>
              </w:rPr>
              <w:t>评标委员会推荐3名中标候选人</w:t>
            </w:r>
          </w:p>
        </w:tc>
      </w:tr>
      <w:tr w14:paraId="7C4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A091FD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907" w:type="pct"/>
            <w:vAlign w:val="center"/>
          </w:tcPr>
          <w:p w14:paraId="307676B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535" w:type="pct"/>
            <w:vAlign w:val="center"/>
          </w:tcPr>
          <w:p w14:paraId="1164323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rPr>
            </w:pPr>
            <w:r>
              <w:rPr>
                <w:rFonts w:hint="eastAsia" w:ascii="宋体" w:hAnsi="宋体" w:eastAsia="宋体" w:cs="宋体"/>
                <w:b w:val="0"/>
                <w:bCs w:val="0"/>
                <w:color w:val="auto"/>
                <w:sz w:val="24"/>
                <w:szCs w:val="24"/>
                <w:highlight w:val="none"/>
                <w:lang w:val="en-US" w:eastAsia="zh-CN"/>
              </w:rPr>
              <w:t>采购人委托评标委员会确定</w:t>
            </w:r>
          </w:p>
        </w:tc>
      </w:tr>
      <w:tr w14:paraId="2E3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CDADC2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907" w:type="pct"/>
            <w:vAlign w:val="center"/>
          </w:tcPr>
          <w:p w14:paraId="06A26B7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535" w:type="pct"/>
            <w:vAlign w:val="center"/>
          </w:tcPr>
          <w:p w14:paraId="349053D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0287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E5128F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907" w:type="pct"/>
            <w:vAlign w:val="center"/>
          </w:tcPr>
          <w:p w14:paraId="7C3B475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535" w:type="pct"/>
            <w:vAlign w:val="center"/>
          </w:tcPr>
          <w:p w14:paraId="00A0F8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19E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377E577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907" w:type="pct"/>
            <w:vAlign w:val="center"/>
          </w:tcPr>
          <w:p w14:paraId="7517464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535" w:type="pct"/>
            <w:vAlign w:val="center"/>
          </w:tcPr>
          <w:p w14:paraId="3E06C6A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316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7" w:type="pct"/>
            <w:vAlign w:val="center"/>
          </w:tcPr>
          <w:p w14:paraId="2AB2D0C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907" w:type="pct"/>
            <w:vAlign w:val="center"/>
          </w:tcPr>
          <w:p w14:paraId="1B67911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履约保证金</w:t>
            </w:r>
          </w:p>
        </w:tc>
        <w:tc>
          <w:tcPr>
            <w:tcW w:w="3535" w:type="pct"/>
            <w:vAlign w:val="center"/>
          </w:tcPr>
          <w:p w14:paraId="48B96AB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bCs/>
                <w:color w:val="auto"/>
                <w:kern w:val="0"/>
                <w:sz w:val="24"/>
                <w:szCs w:val="24"/>
                <w:highlight w:val="none"/>
              </w:rPr>
            </w:pPr>
            <w:r>
              <w:rPr>
                <w:rFonts w:hint="eastAsia" w:ascii="宋体" w:hAnsi="宋体" w:eastAsia="宋体"/>
                <w:b w:val="0"/>
                <w:color w:val="auto"/>
                <w:sz w:val="24"/>
                <w:highlight w:val="none"/>
                <w:lang w:val="en-US" w:eastAsia="zh-CN"/>
              </w:rPr>
              <w:t>免收</w:t>
            </w:r>
          </w:p>
        </w:tc>
      </w:tr>
      <w:tr w14:paraId="7BB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7" w:type="pct"/>
            <w:vAlign w:val="center"/>
          </w:tcPr>
          <w:p w14:paraId="7CECA67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907" w:type="pct"/>
            <w:vAlign w:val="center"/>
          </w:tcPr>
          <w:p w14:paraId="70B1763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535" w:type="pct"/>
            <w:vAlign w:val="top"/>
          </w:tcPr>
          <w:p w14:paraId="22521B2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1F476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E5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2E7240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907" w:type="pct"/>
            <w:vAlign w:val="center"/>
          </w:tcPr>
          <w:p w14:paraId="543F1B3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代理费及专家评审费</w:t>
            </w:r>
          </w:p>
        </w:tc>
        <w:tc>
          <w:tcPr>
            <w:tcW w:w="3535" w:type="pct"/>
            <w:vAlign w:val="center"/>
          </w:tcPr>
          <w:p w14:paraId="503366C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outlineLvl w:val="9"/>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default" w:ascii="宋体" w:hAnsi="宋体" w:eastAsia="宋体" w:cs="宋体"/>
                <w:color w:val="auto"/>
                <w:spacing w:val="14"/>
                <w:sz w:val="24"/>
                <w:szCs w:val="24"/>
                <w:highlight w:val="none"/>
              </w:rPr>
              <w:t>中标人</w:t>
            </w:r>
          </w:p>
          <w:p w14:paraId="320AE677">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6071FB7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代理费3000元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w:t>
            </w:r>
            <w:r>
              <w:rPr>
                <w:rFonts w:hint="eastAsia" w:ascii="宋体" w:hAnsi="宋体" w:eastAsia="宋体" w:cs="宋体"/>
                <w:b w:val="0"/>
                <w:bCs w:val="0"/>
                <w:color w:val="auto"/>
                <w:kern w:val="2"/>
                <w:sz w:val="24"/>
                <w:szCs w:val="24"/>
                <w:highlight w:val="none"/>
                <w:u w:val="single"/>
                <w:lang w:val="en-US" w:eastAsia="zh-CN" w:bidi="ar-SA"/>
              </w:rPr>
              <w:t>其中</w:t>
            </w:r>
            <w:bookmarkStart w:id="86" w:name="_GoBack"/>
            <w:bookmarkEnd w:id="86"/>
            <w:r>
              <w:rPr>
                <w:rFonts w:hint="eastAsia" w:ascii="宋体" w:hAnsi="宋体" w:eastAsia="宋体" w:cs="宋体"/>
                <w:b w:val="0"/>
                <w:bCs w:val="0"/>
                <w:color w:val="auto"/>
                <w:kern w:val="2"/>
                <w:sz w:val="24"/>
                <w:szCs w:val="24"/>
                <w:highlight w:val="none"/>
                <w:u w:val="single"/>
                <w:lang w:val="en-US" w:eastAsia="zh-CN" w:bidi="ar-SA"/>
              </w:rPr>
              <w:t>一次评审费1240元，二次评审费</w:t>
            </w:r>
            <w:r>
              <w:rPr>
                <w:rFonts w:hint="default" w:ascii="宋体" w:hAnsi="宋体" w:eastAsia="宋体" w:cs="宋体"/>
                <w:b w:val="0"/>
                <w:bCs w:val="0"/>
                <w:color w:val="auto"/>
                <w:kern w:val="2"/>
                <w:sz w:val="24"/>
                <w:szCs w:val="24"/>
                <w:highlight w:val="none"/>
                <w:u w:val="single"/>
                <w:lang w:val="en-US" w:eastAsia="zh-CN" w:bidi="ar-SA"/>
              </w:rPr>
              <w:t>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41FC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3499ED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907" w:type="pct"/>
            <w:vAlign w:val="center"/>
          </w:tcPr>
          <w:p w14:paraId="637839A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535" w:type="pct"/>
            <w:vAlign w:val="center"/>
          </w:tcPr>
          <w:p w14:paraId="27079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outlineLvl w:val="9"/>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投标人通过书面形式提出，一份质疑函只能针对一个项目提出质疑，且针对同一采购程序环节的质疑应当一次性提出。</w:t>
            </w:r>
          </w:p>
          <w:p w14:paraId="7920868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滁州市机电工程学校或安徽百士德工程咨询有限公司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15855014401或15178499373</w:t>
            </w:r>
          </w:p>
          <w:p w14:paraId="0D4A3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滁州市会峰西路72-11号</w:t>
            </w:r>
          </w:p>
        </w:tc>
      </w:tr>
      <w:tr w14:paraId="25E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7072D252">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535" w:type="pct"/>
            <w:vAlign w:val="center"/>
          </w:tcPr>
          <w:p w14:paraId="06B01FE4">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18FE9858">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否则经评标委员会一致认定后, 按照无效投标处理。</w:t>
            </w:r>
          </w:p>
        </w:tc>
      </w:tr>
      <w:tr w14:paraId="5C8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5CB4E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b w:val="0"/>
                <w:color w:val="auto"/>
                <w:sz w:val="24"/>
                <w:highlight w:val="none"/>
              </w:rPr>
            </w:pPr>
            <w:r>
              <w:rPr>
                <w:rFonts w:hint="eastAsia" w:ascii="宋体" w:hAnsi="宋体" w:eastAsia="宋体" w:cs="宋体"/>
                <w:b/>
                <w:bCs/>
                <w:color w:val="auto"/>
                <w:sz w:val="24"/>
                <w:szCs w:val="24"/>
                <w:highlight w:val="none"/>
              </w:rPr>
              <w:t>付款方式</w:t>
            </w:r>
          </w:p>
        </w:tc>
        <w:tc>
          <w:tcPr>
            <w:tcW w:w="3535" w:type="pct"/>
            <w:vAlign w:val="center"/>
          </w:tcPr>
          <w:p w14:paraId="20815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bCs/>
                <w:color w:val="auto"/>
                <w:kern w:val="2"/>
                <w:sz w:val="24"/>
                <w:szCs w:val="24"/>
                <w:highlight w:val="none"/>
                <w:lang w:val="en-US" w:eastAsia="zh-CN" w:bidi="ar-SA"/>
              </w:rPr>
              <w:t>合同、担保措施生效并具备实施条件后5个工作日内采人向中标人支付预付款，预付款为合同价款的40%【中标人须提交银行、保险公司、担保公司等金融机构出具的预付款保函（保函须使用见索即付型）或其他担保措施】；货物安装调试培训完毕验收合格并正常使用运行后7个工作日内付至合同价款的 100%。</w:t>
            </w:r>
          </w:p>
        </w:tc>
      </w:tr>
      <w:tr w14:paraId="7AD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1C489C2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Cs/>
                <w:color w:val="auto"/>
                <w:kern w:val="2"/>
                <w:highlight w:val="none"/>
                <w:lang w:val="en-US" w:eastAsia="zh-CN"/>
              </w:rPr>
            </w:pPr>
          </w:p>
          <w:p w14:paraId="67022D4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b w:val="0"/>
                <w:color w:val="auto"/>
                <w:sz w:val="24"/>
                <w:highlight w:val="none"/>
                <w:lang w:val="en-US" w:eastAsia="zh-CN"/>
              </w:rPr>
              <w:t>其他内容</w:t>
            </w:r>
          </w:p>
        </w:tc>
        <w:tc>
          <w:tcPr>
            <w:tcW w:w="3535" w:type="pct"/>
            <w:vAlign w:val="center"/>
          </w:tcPr>
          <w:p w14:paraId="6B64A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0D713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FC2F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7933C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18A8FBDD">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50BFF547">
      <w:pPr>
        <w:spacing w:line="360" w:lineRule="auto"/>
        <w:jc w:val="center"/>
        <w:outlineLvl w:val="9"/>
        <w:rPr>
          <w:rFonts w:asciiTheme="minorEastAsia" w:hAnsiTheme="minorEastAsia" w:eastAsiaTheme="minorEastAsia"/>
          <w:b/>
          <w:color w:val="auto"/>
          <w:sz w:val="24"/>
          <w:highlight w:val="none"/>
        </w:rPr>
      </w:pPr>
      <w:bookmarkStart w:id="4" w:name="_Toc14880"/>
      <w:bookmarkStart w:id="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
      <w:bookmarkEnd w:id="5"/>
    </w:p>
    <w:p w14:paraId="15307A5F">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0147D5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.1采购人：是指依法开展采购活动的国家机关、事业单位、团体组织。</w:t>
      </w:r>
    </w:p>
    <w:p w14:paraId="2A1B0796">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66C949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有关部门依法履行与采购活动有关的监督管理职责。</w:t>
      </w:r>
    </w:p>
    <w:p w14:paraId="37F00CD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本项目的投标人须满足以下条件：</w:t>
      </w:r>
    </w:p>
    <w:p w14:paraId="5052B5B8">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具备供应商条件的规定，遵守本项目采购人本级和上级财政部门采购的有关规定。</w:t>
      </w:r>
    </w:p>
    <w:p w14:paraId="5CCB1E7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D16520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AFFDA9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1DF6E73">
      <w:pPr>
        <w:spacing w:line="360" w:lineRule="auto"/>
        <w:ind w:firstLine="437"/>
        <w:outlineLvl w:val="9"/>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DD3B13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5D4653">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10B39BD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685F645">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68CB8267">
      <w:pPr>
        <w:spacing w:line="360" w:lineRule="auto"/>
        <w:ind w:firstLine="435"/>
        <w:outlineLvl w:val="9"/>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7742902B">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242CBDE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8CF292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75C338F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537BA5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25FE5A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A66463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14:paraId="22753CF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1F1303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452824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5E63C6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2D7ED896">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557F331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6.1投标人如对招标文件内容有疑问，可在投标人须知前附表规定的时间及方式提出疑问提交给采购代理机构邮箱。</w:t>
      </w:r>
    </w:p>
    <w:p w14:paraId="7E48B3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6.2采购人可主动地或在答复投标人提出的询问时对招标文件进行澄清与修改。采购代理机构将在滁州市机电工程学校官网以发布更正公告的方式，澄清或修改招标文件，更正公告的内容作为招标文件的组成部分，对投标人起约束作用。投标人应主动上网查询。采购代理机构不承担投标人未及时关注相关信息引发的相关责任。</w:t>
      </w:r>
    </w:p>
    <w:p w14:paraId="752D8299">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152342">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6.4对于没有提出疑问又参与了本项目投标的投标人将被视为完全认同本招标文件（含更正公告的内容）。</w:t>
      </w:r>
    </w:p>
    <w:p w14:paraId="41E0B41E">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CF81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FF331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D3CD2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投标人所投货物及伴随的服务均应符合国家强制性标准。</w:t>
      </w:r>
    </w:p>
    <w:p w14:paraId="427FC3A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0189C2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50A2AF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A11D80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4781B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004FEE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38DCE89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9443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50A3C1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C389C4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80119AE">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CB56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288D25D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B366C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DDAE29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93FE3A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F3EDDC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FA125C7">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CD857E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12.投标文件</w:t>
      </w:r>
    </w:p>
    <w:p w14:paraId="4EF07E76">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12.1投标文件份数</w:t>
      </w:r>
    </w:p>
    <w:p w14:paraId="5440D4EF">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12.1.1投标文件份数要求见投标人须知前附表规定。</w:t>
      </w:r>
    </w:p>
    <w:p w14:paraId="732EF492">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12.2投标文件装订</w:t>
      </w:r>
    </w:p>
    <w:p w14:paraId="473E0CF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应按A4纸大小进行装订，对于较大图、表，可采用A3纸，但需要按A4纸大小进行折叠、装订，资信证明文件、技术标、商务标应当分别装订。投标文件的正本与副本应分别装订成册,具体装订要求见投标人须知前附表规定。</w:t>
      </w:r>
    </w:p>
    <w:p w14:paraId="095D2AB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12.3</w:t>
      </w:r>
      <w:r>
        <w:rPr>
          <w:rFonts w:hint="eastAsia" w:ascii="宋体" w:hAnsi="宋体" w:eastAsia="宋体" w:cs="@仿宋_GB2312"/>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投标文件的密封和标记</w:t>
      </w:r>
    </w:p>
    <w:p w14:paraId="0089743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12.3.1 投标文件应进行包装、加贴封条，并在封套的封口处加盖投标人单位章。</w:t>
      </w:r>
    </w:p>
    <w:p w14:paraId="64DC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12.3.2 投标文件封套上应写明的内容及具体密封要求见投标人须知前附表。</w:t>
      </w:r>
    </w:p>
    <w:p w14:paraId="00DF4B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12.3.未按本章第12.3.1项或12.3.2项要求密封和加写标记的投标文件，采购人应予拒收。</w:t>
      </w:r>
    </w:p>
    <w:p w14:paraId="0510281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4投标文件的递交、修改与撤回</w:t>
      </w:r>
    </w:p>
    <w:p w14:paraId="55160CE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12.2.1投标人应当在招标公告规定的投标截止时间前递交投标文件。</w:t>
      </w:r>
    </w:p>
    <w:p w14:paraId="2623DEA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12.2.2投标人应当在投标截止时间前完成投标文件的递交，并可以补充、修改或者撤回投标文件。投标截止时间前未完成投标文件递交的，视为撤回投标文件。未按规定投标截止时间后送达的投标文件，应当拒收。</w:t>
      </w:r>
    </w:p>
    <w:p w14:paraId="2B6D46C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12.2.3投标人对投标文件的补充、修改，应按本须知第12.1条、第12.2条和第12.3条有关规定密封、标记和提交，并在投标文件密封袋上清楚标明“补充”、“修改”字样。</w:t>
      </w:r>
    </w:p>
    <w:p w14:paraId="0879B98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12.2.4</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在投标截止时间之后，投标人不得补充、修改投标文件。</w:t>
      </w:r>
    </w:p>
    <w:p w14:paraId="2AB738B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12.2.5</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投标截止时间之后，投标文件不得撤回；如果撤回的，投标保证金不予退还。</w:t>
      </w:r>
    </w:p>
    <w:p w14:paraId="68AD784C">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开标</w:t>
      </w:r>
    </w:p>
    <w:p w14:paraId="4B9382B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1开标时，各投标人代表对各投标文件进行密封检查。</w:t>
      </w:r>
      <w:r>
        <w:rPr>
          <w:rFonts w:hint="eastAsia" w:ascii="宋体" w:hAnsi="宋体" w:eastAsia="宋体" w:cs="宋体"/>
          <w:b/>
          <w:bCs/>
          <w:color w:val="auto"/>
          <w:kern w:val="2"/>
          <w:sz w:val="24"/>
          <w:szCs w:val="24"/>
          <w:highlight w:val="none"/>
          <w:lang w:val="en-US" w:eastAsia="zh-CN" w:bidi="ar"/>
        </w:rPr>
        <w:t>法定代表人参加开标会议，应携带本人身份证；委托代理人参加开标会议应携带法定代表人授权书和本人身份证。</w:t>
      </w:r>
    </w:p>
    <w:p w14:paraId="3EB4F7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2开标时，采购代理机构公布开标结果，公布内容包括投标人名称、投标价格及招标文件规定的内容。</w:t>
      </w:r>
    </w:p>
    <w:p w14:paraId="48E0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13.3采购人或采购代理机构将对开标过程进行记录，由参加开标的各投标人代表和相关工作人员签字确认，并存档备查。</w:t>
      </w:r>
    </w:p>
    <w:p w14:paraId="1F0A60B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投标人未派代表参加开标的，视同投标人认可开标结果。</w:t>
      </w:r>
    </w:p>
    <w:p w14:paraId="7BEFD0B6">
      <w:pPr>
        <w:keepNext w:val="0"/>
        <w:keepLines w:val="0"/>
        <w:widowControl w:val="0"/>
        <w:suppressLineNumbers w:val="0"/>
        <w:spacing w:before="0" w:beforeAutospacing="0" w:after="0" w:afterAutospacing="0"/>
        <w:ind w:left="0" w:right="0"/>
        <w:jc w:val="both"/>
        <w:outlineLvl w:val="9"/>
        <w:rPr>
          <w:color w:val="auto"/>
          <w:highlight w:val="none"/>
        </w:rPr>
      </w:pPr>
      <w:r>
        <w:rPr>
          <w:rFonts w:hint="eastAsia" w:ascii="宋体" w:hAnsi="宋体" w:eastAsia="宋体" w:cs="宋体"/>
          <w:color w:val="auto"/>
          <w:kern w:val="2"/>
          <w:sz w:val="24"/>
          <w:szCs w:val="24"/>
          <w:highlight w:val="none"/>
          <w:lang w:val="en-US" w:eastAsia="zh-CN" w:bidi="ar"/>
        </w:rPr>
        <w:t>13.4投标人代表对开标过程和开标记录有疑义，以及认为采购人、采购代理机构相关工作人员有需要回避的情形的，应当场提出询问或者回避申请。</w:t>
      </w:r>
    </w:p>
    <w:p w14:paraId="561C91E0">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75F67B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3FECE29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14C24BF">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15.1符合性审查是指依据招标文件的规定，从投标文件的有效性和完整性对招标文件的响应程度进行审查，以确定是否对招标文件的实质性要求做出响应。</w:t>
      </w:r>
    </w:p>
    <w:p w14:paraId="6E550632">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15.2投标文件的澄清</w:t>
      </w:r>
    </w:p>
    <w:p w14:paraId="287259F1">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6AC5923">
      <w:pPr>
        <w:spacing w:line="360" w:lineRule="auto"/>
        <w:ind w:firstLine="437"/>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投标人未派代表参加开标的或投标人授权代表联系不上等情形而无法接受评标委员会询标的，投标人自行承担相关风险。</w:t>
      </w:r>
    </w:p>
    <w:p w14:paraId="34EEB155">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15.2.2投标人的澄清、说明或补正将作为投标文件的一部分。</w:t>
      </w:r>
    </w:p>
    <w:p w14:paraId="7BC4C169">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15.2.3评标委员会对投标人提交的澄清、说明或补正有疑问的，可以要求投标人进一步澄清、说明或补正，直至满足评标委员会的要求。</w:t>
      </w:r>
    </w:p>
    <w:p w14:paraId="776A9164">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15.3投标文件报价出现前后不一致的，按照下列规定修正：</w:t>
      </w:r>
    </w:p>
    <w:p w14:paraId="10258F87">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（1）投标文件中开标一览表内容与投标文件中相应内容不一致的，以开标一览表为准；</w:t>
      </w:r>
    </w:p>
    <w:p w14:paraId="71D0802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（2）大写金额和小写金额不一致的，以大写金额为准；</w:t>
      </w:r>
    </w:p>
    <w:p w14:paraId="72909B4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（3）单价金额小数点或者百分比有明显错位的，以开标一览表的总价为准，并修改单价；</w:t>
      </w:r>
    </w:p>
    <w:p w14:paraId="458618D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（4）总价金额与按单价汇总金额不一致的，以单价金额计算结果为准。</w:t>
      </w:r>
    </w:p>
    <w:p w14:paraId="2A1379FB">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同时出现两种以上不一致的，按照前款规定的顺序修正。修正后的报价按照第15.4条的规定经投标人确认后产生约束力，投标人不确认的，其投标将被认定为</w:t>
      </w:r>
      <w:r>
        <w:rPr>
          <w:rFonts w:hint="eastAsia" w:asciiTheme="minorEastAsia" w:hAnsiTheme="minorEastAsia" w:eastAsiaTheme="minorEastAsia"/>
          <w:b/>
          <w:bCs/>
          <w:color w:val="auto"/>
          <w:sz w:val="24"/>
          <w:highlight w:val="none"/>
          <w:lang w:val="en-US" w:eastAsia="zh-CN"/>
        </w:rPr>
        <w:t>投标无效</w:t>
      </w:r>
      <w:r>
        <w:rPr>
          <w:rFonts w:hint="eastAsia" w:asciiTheme="minorEastAsia" w:hAnsiTheme="minorEastAsia" w:eastAsiaTheme="minorEastAsia"/>
          <w:color w:val="auto"/>
          <w:sz w:val="24"/>
          <w:highlight w:val="none"/>
          <w:lang w:val="en-US" w:eastAsia="zh-CN"/>
        </w:rPr>
        <w:t>。</w:t>
      </w:r>
    </w:p>
    <w:p w14:paraId="1C38EB3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对不同文字文本投标文件的解释发生异议的，以中文文本为准。</w:t>
      </w:r>
    </w:p>
    <w:p w14:paraId="47A2F2E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82F532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945D4B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870AE1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3516B0F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72714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D4978C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08AC58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960F8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3201D7F">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8B97F2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C0BE6D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830B3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466D7C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BD7ED4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18C205A">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E1FC4C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8A37E3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782831">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5D283B2">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B16AD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4E2139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A7C52B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F283EE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采购监督管理部门</w:t>
      </w:r>
      <w:r>
        <w:rPr>
          <w:rFonts w:hint="eastAsia" w:asciiTheme="minorEastAsia" w:hAnsiTheme="minorEastAsia" w:eastAsiaTheme="minorEastAsia"/>
          <w:color w:val="auto"/>
          <w:sz w:val="24"/>
          <w:highlight w:val="none"/>
        </w:rPr>
        <w:t>批准。</w:t>
      </w:r>
    </w:p>
    <w:p w14:paraId="1A738F0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07D8BD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B56C080">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FB5611B">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527DDA4">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34CC528">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71BACCFE">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2CAECDB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08E640F">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C65CB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FB0FFF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DD43CE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编写评标报告</w:t>
      </w:r>
    </w:p>
    <w:p w14:paraId="76EFFD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52E88DF">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中标结果公告</w:t>
      </w:r>
    </w:p>
    <w:p w14:paraId="5F3C6AF0">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除</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规定由评标委员会直接确定中标人外，在评标结束后</w:t>
      </w:r>
      <w:r>
        <w:rPr>
          <w:rFonts w:hint="eastAsia" w:ascii="宋体" w:hAnsi="宋体" w:eastAsia="宋体" w:cs="@仿宋_GB2312"/>
          <w:color w:val="auto"/>
          <w:kern w:val="2"/>
          <w:sz w:val="24"/>
          <w:szCs w:val="24"/>
          <w:highlight w:val="none"/>
          <w:lang w:val="en-US" w:eastAsia="zh-CN" w:bidi="ar"/>
        </w:rPr>
        <w:t>2个工作日内</w:t>
      </w:r>
      <w:r>
        <w:rPr>
          <w:rFonts w:hint="eastAsia" w:ascii="宋体" w:hAnsi="宋体" w:eastAsia="宋体" w:cs="宋体"/>
          <w:color w:val="auto"/>
          <w:kern w:val="2"/>
          <w:sz w:val="24"/>
          <w:szCs w:val="24"/>
          <w:highlight w:val="none"/>
          <w:lang w:val="en-US" w:eastAsia="zh-CN" w:bidi="ar"/>
        </w:rPr>
        <w:t>，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2FD96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自中标人确定之日起2个工作日内，采购人将在滁州市机电工程学校官网（http://www.cztc.edu.cn/）上发布中标结果公告。</w:t>
      </w:r>
    </w:p>
    <w:p w14:paraId="405E658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23.3中标结果公告内容应当包括采购人及其委托的采购代理机构的名称、地址、联系方式，项目名称和项目编号，中标人名称、地址和中标金额，主要中标标的</w:t>
      </w:r>
      <w:r>
        <w:rPr>
          <w:rFonts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规格型号、数量、单价</w:t>
      </w:r>
      <w:r>
        <w:rPr>
          <w:rFonts w:hint="eastAsia" w:ascii="宋体" w:hAnsi="宋体" w:eastAsia="宋体" w:cs="宋体"/>
          <w:color w:val="auto"/>
          <w:kern w:val="2"/>
          <w:sz w:val="24"/>
          <w:szCs w:val="24"/>
          <w:highlight w:val="none"/>
          <w:lang w:val="en-US" w:eastAsia="zh-CN" w:bidi="ar"/>
        </w:rPr>
        <w:t>，中标公告期限以及投标人须知前附表中约定进行公告的内容。中标公告期限为</w:t>
      </w:r>
      <w:r>
        <w:rPr>
          <w:rFonts w:hint="eastAsia" w:ascii="宋体" w:hAnsi="宋体" w:eastAsia="宋体" w:cs="@仿宋_GB2312"/>
          <w:color w:val="auto"/>
          <w:kern w:val="2"/>
          <w:sz w:val="24"/>
          <w:szCs w:val="24"/>
          <w:highlight w:val="none"/>
          <w:lang w:val="en-US" w:eastAsia="zh-CN" w:bidi="ar"/>
        </w:rPr>
        <w:t>1个工作日。</w:t>
      </w:r>
    </w:p>
    <w:p w14:paraId="18A0D19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24</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中标通知书</w:t>
      </w:r>
    </w:p>
    <w:p w14:paraId="0ED8DE8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.1采购代理机构</w:t>
      </w:r>
      <w:r>
        <w:rPr>
          <w:rFonts w:hint="eastAsia" w:ascii="宋体" w:hAnsi="宋体" w:eastAsia="宋体" w:cs="宋体"/>
          <w:color w:val="auto"/>
          <w:kern w:val="2"/>
          <w:sz w:val="24"/>
          <w:szCs w:val="24"/>
          <w:highlight w:val="none"/>
          <w:lang w:val="en-US" w:eastAsia="zh-CN" w:bidi="ar"/>
        </w:rPr>
        <w:t>发布中标结果公告</w:t>
      </w:r>
      <w:r>
        <w:rPr>
          <w:rFonts w:hint="eastAsia" w:ascii="宋体" w:hAnsi="宋体" w:eastAsia="宋体" w:cs="宋体"/>
          <w:iCs/>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lang w:val="en-US" w:eastAsia="zh-CN" w:bidi="ar"/>
        </w:rPr>
        <w:t>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规定的形式向中标人发出中标通知书。</w:t>
      </w:r>
    </w:p>
    <w:p w14:paraId="1382BC4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.2中标通知书对采购人和中标</w:t>
      </w:r>
      <w:r>
        <w:rPr>
          <w:rFonts w:hint="eastAsia" w:ascii="宋体" w:hAnsi="宋体" w:eastAsia="宋体" w:cs="宋体"/>
          <w:color w:val="auto"/>
          <w:kern w:val="2"/>
          <w:sz w:val="24"/>
          <w:szCs w:val="24"/>
          <w:highlight w:val="none"/>
          <w:lang w:val="en-US" w:eastAsia="zh-CN" w:bidi="ar"/>
        </w:rPr>
        <w:t>人具有同等法律效力。中标通知书发出以后，采购人改变中标结果或者中标人放弃中标，应当承担相应的法律责任。</w:t>
      </w:r>
    </w:p>
    <w:p w14:paraId="386D1F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.3中标通知书是</w:t>
      </w:r>
      <w:r>
        <w:rPr>
          <w:rFonts w:hint="eastAsia" w:ascii="宋体" w:hAnsi="宋体" w:eastAsia="宋体" w:cs="宋体"/>
          <w:color w:val="auto"/>
          <w:kern w:val="2"/>
          <w:sz w:val="24"/>
          <w:szCs w:val="24"/>
          <w:highlight w:val="none"/>
          <w:lang w:val="en-US" w:eastAsia="zh-CN" w:bidi="ar"/>
        </w:rPr>
        <w:t>合同的组成部分。</w:t>
      </w:r>
    </w:p>
    <w:p w14:paraId="57AD1651">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25</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告知招标结果</w:t>
      </w:r>
    </w:p>
    <w:p w14:paraId="3E0DC2E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25</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在公告中标结果的同时，采购代理机构同时以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规定的形式告知未通过资格审查的投标人未通过的原因；采用综合评分法评审的，还将告知未中标人本人的评审得分和排序。</w:t>
      </w:r>
    </w:p>
    <w:p w14:paraId="52D52BD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26</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履约保证金（本项目不采用）</w:t>
      </w:r>
    </w:p>
    <w:p w14:paraId="01F55A0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26.1中标人应按照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规定缴纳履约保证金。</w:t>
      </w:r>
    </w:p>
    <w:p w14:paraId="3C4697BA">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如果中标人没有按照上述履约保证金的规定执行，将视为放弃中标资格。在此情况下，采购人可确定下一中标候选人为中标人，也可以重新开展采购活动。</w:t>
      </w:r>
    </w:p>
    <w:p w14:paraId="6ADD1DB9">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27</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签订合同</w:t>
      </w:r>
    </w:p>
    <w:p w14:paraId="31EEB0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27.1采购人与中标人应当按照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规定的时间内完成政府采购合同签订及合同公告。</w:t>
      </w:r>
    </w:p>
    <w:p w14:paraId="3398324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27.2招标文件、中标人的投标文件及其澄清文件等，均为签订合同的依据。</w:t>
      </w:r>
    </w:p>
    <w:p w14:paraId="484853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27.3中标人拒绝与采购人签订合同的，采购人可以按照评审报告推荐的中标候选人名单排序，确定下一中标候选人为中标人，也可以重新开展采购活动。</w:t>
      </w:r>
    </w:p>
    <w:p w14:paraId="6A3398B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代理费用</w:t>
      </w:r>
    </w:p>
    <w:p w14:paraId="0D15334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28</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本项目代理费用的收取按</w:t>
      </w:r>
      <w:r>
        <w:rPr>
          <w:rFonts w:hint="eastAsia" w:ascii="宋体" w:hAnsi="宋体" w:eastAsia="宋体" w:cs="宋体"/>
          <w:color w:val="auto"/>
          <w:kern w:val="2"/>
          <w:sz w:val="24"/>
          <w:szCs w:val="24"/>
          <w:highlight w:val="none"/>
          <w:u w:val="single"/>
          <w:lang w:val="en-US" w:eastAsia="zh-CN" w:bidi="ar"/>
        </w:rPr>
        <w:t>投标人须知前附表的</w:t>
      </w:r>
      <w:r>
        <w:rPr>
          <w:rFonts w:hint="eastAsia" w:ascii="宋体" w:hAnsi="宋体" w:eastAsia="宋体" w:cs="宋体"/>
          <w:color w:val="auto"/>
          <w:kern w:val="2"/>
          <w:sz w:val="24"/>
          <w:szCs w:val="24"/>
          <w:highlight w:val="none"/>
          <w:lang w:val="en-US" w:eastAsia="zh-CN" w:bidi="ar"/>
        </w:rPr>
        <w:t>规定执行。</w:t>
      </w:r>
    </w:p>
    <w:p w14:paraId="1EB490A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29.廉洁自律规定</w:t>
      </w:r>
    </w:p>
    <w:p w14:paraId="24A1BF3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29.1采购代理机构工作人员不得以不正当手段获取政府采购代理业务，不得与采购人、供应商恶意串通。</w:t>
      </w:r>
    </w:p>
    <w:p w14:paraId="500631D1">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采购代理机构工作人员不得接受采购人或者供应商组织的宴请、旅游、娱乐，不得收受礼品、现金、有价证券等，不得向采购人或者供应商报销应当由个人承担的费用。</w:t>
      </w:r>
    </w:p>
    <w:p w14:paraId="3112B2A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30.人员回避</w:t>
      </w:r>
    </w:p>
    <w:p w14:paraId="3020C46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投标人认为采购人员及其相关人员有法律法规所列与其他供应商有利害关系的，可以向采购人或采购代理机构书面提出回避申请，并说明理由。</w:t>
      </w:r>
    </w:p>
    <w:p w14:paraId="69675D4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31</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质疑的提出与接收</w:t>
      </w:r>
    </w:p>
    <w:p w14:paraId="646F6CD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31.1投标人认为招标文件、招标过程和中标结果使自己的权益受到损害的，可以在知道或者应知其权益受到损害之日起七个工作日内，以书面形式向采购人或其委托的采购代理机构提出质疑。</w:t>
      </w:r>
    </w:p>
    <w:p w14:paraId="2389718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787943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31.3采购代理机构质疑函接收部门、联系电话和通讯地址，见</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w:t>
      </w:r>
    </w:p>
    <w:p w14:paraId="6076C049">
      <w:pPr>
        <w:widowControl/>
        <w:jc w:val="left"/>
        <w:outlineLvl w:val="9"/>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9AC9E3">
      <w:pPr>
        <w:spacing w:line="360" w:lineRule="auto"/>
        <w:jc w:val="center"/>
        <w:outlineLvl w:val="0"/>
        <w:rPr>
          <w:rFonts w:hint="eastAsia" w:asciiTheme="minorEastAsia" w:hAnsiTheme="minorEastAsia" w:eastAsiaTheme="minorEastAsia"/>
          <w:b/>
          <w:color w:val="auto"/>
          <w:sz w:val="28"/>
          <w:highlight w:val="none"/>
          <w:lang w:eastAsia="zh-CN"/>
        </w:rPr>
      </w:pPr>
      <w:bookmarkStart w:id="6" w:name="_Toc23609"/>
      <w:r>
        <w:rPr>
          <w:rFonts w:hint="eastAsia" w:asciiTheme="minorEastAsia" w:hAnsiTheme="minorEastAsia" w:eastAsiaTheme="minorEastAsia"/>
          <w:b/>
          <w:color w:val="auto"/>
          <w:sz w:val="28"/>
          <w:highlight w:val="none"/>
        </w:rPr>
        <w:t>第三章  采购需求</w:t>
      </w:r>
      <w:bookmarkEnd w:id="6"/>
    </w:p>
    <w:p w14:paraId="63A4CD99">
      <w:pPr>
        <w:spacing w:line="360" w:lineRule="auto"/>
        <w:ind w:firstLine="437"/>
        <w:outlineLvl w:val="9"/>
        <w:rPr>
          <w:rFonts w:ascii="宋体" w:hAnsi="宋体" w:eastAsia="宋体"/>
          <w:b/>
          <w:color w:val="auto"/>
          <w:sz w:val="24"/>
          <w:szCs w:val="18"/>
          <w:highlight w:val="none"/>
        </w:rPr>
      </w:pPr>
      <w:bookmarkStart w:id="7" w:name="_Toc32151"/>
      <w:bookmarkStart w:id="8" w:name="_Toc2554"/>
      <w:r>
        <w:rPr>
          <w:rFonts w:hint="eastAsia" w:ascii="宋体" w:hAnsi="宋体" w:eastAsia="宋体"/>
          <w:b/>
          <w:color w:val="auto"/>
          <w:sz w:val="24"/>
          <w:szCs w:val="18"/>
          <w:highlight w:val="none"/>
        </w:rPr>
        <w:t>一、采购需求前附表</w:t>
      </w:r>
      <w:bookmarkEnd w:id="7"/>
      <w:bookmarkEnd w:id="8"/>
    </w:p>
    <w:tbl>
      <w:tblPr>
        <w:tblStyle w:val="24"/>
        <w:tblW w:w="5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27"/>
        <w:gridCol w:w="6659"/>
      </w:tblGrid>
      <w:tr w14:paraId="2323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CBF9F89">
            <w:pPr>
              <w:pStyle w:val="34"/>
              <w:pBdr>
                <w:bottom w:val="none" w:color="auto" w:sz="0" w:space="0"/>
              </w:pBdr>
              <w:tabs>
                <w:tab w:val="clear" w:pos="4153"/>
                <w:tab w:val="clear" w:pos="8306"/>
              </w:tabs>
              <w:adjustRightInd/>
              <w:spacing w:line="240" w:lineRule="auto"/>
              <w:outlineLvl w:val="9"/>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31" w:type="pct"/>
            <w:vAlign w:val="center"/>
          </w:tcPr>
          <w:p w14:paraId="636AF9EA">
            <w:pPr>
              <w:pStyle w:val="33"/>
              <w:widowControl w:val="0"/>
              <w:spacing w:before="0" w:beforeAutospacing="0" w:after="0" w:afterAutospacing="0" w:line="360" w:lineRule="auto"/>
              <w:outlineLvl w:val="9"/>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63" w:type="pct"/>
            <w:vAlign w:val="center"/>
          </w:tcPr>
          <w:p w14:paraId="4C5D480E">
            <w:pPr>
              <w:pStyle w:val="33"/>
              <w:widowControl w:val="0"/>
              <w:spacing w:before="0" w:beforeAutospacing="0" w:after="0" w:afterAutospacing="0" w:line="360" w:lineRule="auto"/>
              <w:outlineLvl w:val="9"/>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2EB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39779A86">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31" w:type="pct"/>
            <w:vAlign w:val="center"/>
          </w:tcPr>
          <w:p w14:paraId="335C098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63" w:type="pct"/>
            <w:vAlign w:val="center"/>
          </w:tcPr>
          <w:p w14:paraId="3063F01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both"/>
              <w:outlineLvl w:val="9"/>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合同、担保措施生效并具备实施条件后 5 个工作日内采人向中标人支付预付款，预付款为合同价款的 40%【中标人须提交银行、保险公司、担保公司等金融机构出具的预付款保函（保函须使用见索即付型）或其他担保措施】；货物安装调试培训完毕验收合格并正常使用运行后7个工作日内付至合同价款的 100%。</w:t>
            </w:r>
          </w:p>
        </w:tc>
      </w:tr>
      <w:tr w14:paraId="236E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12A007E">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31" w:type="pct"/>
            <w:vAlign w:val="center"/>
          </w:tcPr>
          <w:p w14:paraId="528070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63" w:type="pct"/>
            <w:vAlign w:val="center"/>
          </w:tcPr>
          <w:p w14:paraId="74B1AC6C">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滁州市机电工程学校，采购人指定地点。</w:t>
            </w:r>
          </w:p>
        </w:tc>
      </w:tr>
      <w:tr w14:paraId="78CB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2861F15">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31" w:type="pct"/>
            <w:vAlign w:val="center"/>
          </w:tcPr>
          <w:p w14:paraId="3E6A859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63" w:type="pct"/>
            <w:vAlign w:val="center"/>
          </w:tcPr>
          <w:p w14:paraId="74851EB7">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自合同签订之日起10个日历天内完成供货、安装及调试完毕。</w:t>
            </w:r>
          </w:p>
        </w:tc>
      </w:tr>
      <w:tr w14:paraId="2D3E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1963E33">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31" w:type="pct"/>
            <w:vAlign w:val="center"/>
          </w:tcPr>
          <w:p w14:paraId="793E2F8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63" w:type="pct"/>
            <w:vAlign w:val="center"/>
          </w:tcPr>
          <w:p w14:paraId="718D123D">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叁年</w:t>
            </w:r>
          </w:p>
        </w:tc>
      </w:tr>
    </w:tbl>
    <w:p w14:paraId="54C118F6">
      <w:pPr>
        <w:spacing w:line="360" w:lineRule="auto"/>
        <w:ind w:firstLine="437"/>
        <w:outlineLvl w:val="9"/>
        <w:rPr>
          <w:rFonts w:ascii="宋体" w:hAnsi="宋体" w:eastAsia="宋体"/>
          <w:b/>
          <w:bCs/>
          <w:color w:val="auto"/>
          <w:sz w:val="24"/>
          <w:szCs w:val="18"/>
          <w:highlight w:val="none"/>
        </w:rPr>
      </w:pPr>
      <w:bookmarkStart w:id="9" w:name="_Toc7671"/>
      <w:bookmarkStart w:id="10"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9"/>
      <w:bookmarkEnd w:id="10"/>
    </w:p>
    <w:tbl>
      <w:tblPr>
        <w:tblStyle w:val="24"/>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064"/>
        <w:gridCol w:w="6195"/>
        <w:gridCol w:w="795"/>
        <w:gridCol w:w="714"/>
      </w:tblGrid>
      <w:tr w14:paraId="0C57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7835AE75">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556" w:type="pct"/>
            <w:vAlign w:val="center"/>
          </w:tcPr>
          <w:p w14:paraId="201678CB">
            <w:pPr>
              <w:spacing w:line="360" w:lineRule="auto"/>
              <w:jc w:val="center"/>
              <w:outlineLvl w:val="9"/>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货物</w:t>
            </w:r>
          </w:p>
          <w:p w14:paraId="20247BD4">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3239" w:type="pct"/>
            <w:vAlign w:val="center"/>
          </w:tcPr>
          <w:p w14:paraId="1246DB69">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415" w:type="pct"/>
            <w:vAlign w:val="center"/>
          </w:tcPr>
          <w:p w14:paraId="5DF3F188">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73" w:type="pct"/>
            <w:vAlign w:val="center"/>
          </w:tcPr>
          <w:p w14:paraId="1E1D2D4C">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447C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5" w:type="pct"/>
            <w:vAlign w:val="center"/>
          </w:tcPr>
          <w:p w14:paraId="186E181D">
            <w:pPr>
              <w:keepNext w:val="0"/>
              <w:keepLines w:val="0"/>
              <w:pageBreakBefore w:val="0"/>
              <w:widowControl w:val="0"/>
              <w:kinsoku/>
              <w:wordWrap/>
              <w:overflowPunct/>
              <w:topLinePunct w:val="0"/>
              <w:autoSpaceDE/>
              <w:autoSpaceDN/>
              <w:bidi w:val="0"/>
              <w:adjustRightInd/>
              <w:snapToGrid/>
              <w:spacing w:line="380" w:lineRule="exact"/>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556" w:type="pct"/>
            <w:vAlign w:val="center"/>
          </w:tcPr>
          <w:p w14:paraId="75CFFDF1">
            <w:pPr>
              <w:spacing w:line="360" w:lineRule="auto"/>
              <w:outlineLvl w:val="9"/>
              <w:rPr>
                <w:rFonts w:hint="eastAsia" w:ascii="宋体" w:hAnsi="宋体" w:eastAsia="宋体" w:cs="宋体"/>
                <w:bCs/>
                <w:color w:val="auto"/>
                <w:sz w:val="28"/>
                <w:szCs w:val="28"/>
                <w:highlight w:val="none"/>
              </w:rPr>
            </w:pPr>
            <w:r>
              <w:rPr>
                <w:rFonts w:hint="eastAsia" w:asciiTheme="minorEastAsia" w:hAnsiTheme="minorEastAsia" w:eastAsiaTheme="minorEastAsia"/>
                <w:color w:val="auto"/>
                <w:sz w:val="24"/>
                <w:highlight w:val="none"/>
              </w:rPr>
              <w:t>工作站电脑</w:t>
            </w:r>
          </w:p>
        </w:tc>
        <w:tc>
          <w:tcPr>
            <w:tcW w:w="3239" w:type="pct"/>
            <w:vAlign w:val="center"/>
          </w:tcPr>
          <w:p w14:paraId="6661EAA1">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类别：商用工作站产品，在官网或产品认证中投标机型为工作站产品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须提供在官网或产品认证证明材料</w:t>
            </w:r>
            <w:r>
              <w:rPr>
                <w:rFonts w:hint="eastAsia" w:asciiTheme="minorEastAsia" w:hAnsiTheme="minorEastAsia" w:eastAsiaTheme="minorEastAsia"/>
                <w:b/>
                <w:bCs/>
                <w:color w:val="auto"/>
                <w:sz w:val="24"/>
                <w:highlight w:val="none"/>
                <w:lang w:eastAsia="zh-CN"/>
              </w:rPr>
              <w:t>）</w:t>
            </w:r>
          </w:p>
          <w:p w14:paraId="7C251770">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处理器：≥I9-14900，核心数≥24，性能核主频≥2.1GHz,性能核心睿频≥5.4GHz，线程数≥32，三级缓存≥36MB；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.内存：≥64GB DDR5-5600内存,提供四个内存插槽位，方便扩展；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.硬盘：≥2TB M.2接口NVME协议SSD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.显卡：≥RTX5070 12GB独立显卡；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.显示屏：≥27寸4K超高清显示器；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.网卡：2500M以太网卡；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.音频设备：集成声卡，支持5.1声道，音频接口≥5个；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.端口：≥9个USB 3.2接口(前置至少1个TYPE-C接口)，主板集成至少1个VGA接口，1个HDMI接口，1个DP接口，1个RJ45网口； </w:t>
            </w:r>
          </w:p>
          <w:p w14:paraId="22EE8EE5">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.插槽：≥4个PCIe插槽(至少2个PCIe x16插槽)</w:t>
            </w:r>
          </w:p>
          <w:p w14:paraId="18629430">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.键鼠：防水抗菌键盘、USB光电鼠标；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.电源：≥750W 92%能源转化电源；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.机箱：塔式标准机箱≥17L；</w:t>
            </w:r>
          </w:p>
          <w:p w14:paraId="22A32E19">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.安全：BIOS级别USB端口单独开关，智能USB数据保护(可设置仅识别鼠标键盘，不识别USB存储设备)；</w:t>
            </w:r>
          </w:p>
          <w:p w14:paraId="30F39CDD">
            <w:pPr>
              <w:spacing w:line="360" w:lineRule="auto"/>
              <w:outlineLvl w:val="9"/>
              <w:rPr>
                <w:rFonts w:hint="eastAsia" w:ascii="宋体" w:hAnsi="宋体" w:cs="宋体" w:eastAsiaTheme="minorEastAsia"/>
                <w:bCs/>
                <w:color w:val="auto"/>
                <w:sz w:val="28"/>
                <w:szCs w:val="28"/>
                <w:highlight w:val="none"/>
                <w:lang w:eastAsia="zh-CN"/>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所投产品的制造商</w:t>
            </w:r>
            <w:r>
              <w:rPr>
                <w:rFonts w:hint="eastAsia" w:asciiTheme="minorEastAsia" w:hAnsiTheme="minorEastAsia" w:eastAsiaTheme="minorEastAsia"/>
                <w:color w:val="auto"/>
                <w:sz w:val="24"/>
                <w:highlight w:val="none"/>
              </w:rPr>
              <w:t>需提供闪修及数据拯救服务；闪修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当日下午4点前报修，下一自然日24点前修复，若没有完成修复，则为客户免费赠送延迟日数对应的月度延保服务；数据拯救服务：3年之内，面向HDD/SSD，针对其软件原因或硬件原因导致数据丢失的情况，提供1次免费的尝试性故障硬盘（单盘）数据拯救服务，若未恢复则不计次数（官网可查）</w:t>
            </w:r>
            <w:r>
              <w:rPr>
                <w:rFonts w:hint="eastAsia" w:asciiTheme="minorEastAsia" w:hAnsiTheme="minorEastAsia" w:eastAsiaTheme="minorEastAsia"/>
                <w:color w:val="auto"/>
                <w:sz w:val="24"/>
                <w:highlight w:val="none"/>
                <w:lang w:eastAsia="zh-CN"/>
              </w:rPr>
              <w:t>。</w:t>
            </w:r>
          </w:p>
        </w:tc>
        <w:tc>
          <w:tcPr>
            <w:tcW w:w="415" w:type="pct"/>
            <w:vAlign w:val="center"/>
          </w:tcPr>
          <w:p w14:paraId="38C703E5">
            <w:pPr>
              <w:spacing w:line="360" w:lineRule="auto"/>
              <w:jc w:val="center"/>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p>
        </w:tc>
        <w:tc>
          <w:tcPr>
            <w:tcW w:w="373" w:type="pct"/>
            <w:vAlign w:val="center"/>
          </w:tcPr>
          <w:p w14:paraId="75156210">
            <w:pPr>
              <w:spacing w:line="360" w:lineRule="auto"/>
              <w:jc w:val="center"/>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套</w:t>
            </w:r>
          </w:p>
        </w:tc>
      </w:tr>
    </w:tbl>
    <w:p w14:paraId="52A7860D">
      <w:pPr>
        <w:spacing w:line="360" w:lineRule="auto"/>
        <w:ind w:firstLine="437"/>
        <w:outlineLvl w:val="9"/>
        <w:rPr>
          <w:rFonts w:ascii="宋体" w:hAnsi="宋体" w:eastAsia="宋体"/>
          <w:bCs/>
          <w:color w:val="auto"/>
          <w:sz w:val="24"/>
          <w:szCs w:val="18"/>
          <w:highlight w:val="none"/>
        </w:rPr>
      </w:pPr>
    </w:p>
    <w:p w14:paraId="31BFF0CD">
      <w:pPr>
        <w:pStyle w:val="30"/>
        <w:outlineLvl w:val="9"/>
        <w:rPr>
          <w:rFonts w:ascii="宋体" w:hAnsi="宋体" w:eastAsia="宋体"/>
          <w:bCs/>
          <w:color w:val="auto"/>
          <w:sz w:val="24"/>
          <w:szCs w:val="18"/>
          <w:highlight w:val="none"/>
        </w:rPr>
      </w:pPr>
    </w:p>
    <w:p w14:paraId="49F47593">
      <w:pPr>
        <w:pStyle w:val="30"/>
        <w:outlineLvl w:val="9"/>
        <w:rPr>
          <w:rFonts w:ascii="宋体" w:hAnsi="宋体" w:eastAsia="宋体"/>
          <w:bCs/>
          <w:color w:val="auto"/>
          <w:sz w:val="24"/>
          <w:szCs w:val="18"/>
          <w:highlight w:val="none"/>
        </w:rPr>
      </w:pPr>
    </w:p>
    <w:p w14:paraId="4C1359B7">
      <w:pPr>
        <w:pStyle w:val="30"/>
        <w:outlineLvl w:val="9"/>
        <w:rPr>
          <w:rFonts w:ascii="宋体" w:hAnsi="宋体" w:eastAsia="宋体"/>
          <w:bCs/>
          <w:color w:val="auto"/>
          <w:sz w:val="24"/>
          <w:szCs w:val="18"/>
          <w:highlight w:val="none"/>
        </w:rPr>
      </w:pPr>
    </w:p>
    <w:p w14:paraId="310BDFA9">
      <w:pPr>
        <w:pStyle w:val="30"/>
        <w:outlineLvl w:val="9"/>
        <w:rPr>
          <w:rFonts w:ascii="宋体" w:hAnsi="宋体" w:eastAsia="宋体"/>
          <w:bCs/>
          <w:color w:val="auto"/>
          <w:sz w:val="24"/>
          <w:szCs w:val="18"/>
          <w:highlight w:val="none"/>
        </w:rPr>
      </w:pPr>
    </w:p>
    <w:p w14:paraId="654B526C">
      <w:pPr>
        <w:pStyle w:val="30"/>
        <w:outlineLvl w:val="9"/>
        <w:rPr>
          <w:rFonts w:ascii="宋体" w:hAnsi="宋体" w:eastAsia="宋体"/>
          <w:bCs/>
          <w:color w:val="auto"/>
          <w:sz w:val="24"/>
          <w:szCs w:val="18"/>
          <w:highlight w:val="none"/>
        </w:rPr>
      </w:pPr>
    </w:p>
    <w:p w14:paraId="1F7B9939">
      <w:pPr>
        <w:pStyle w:val="30"/>
        <w:outlineLvl w:val="9"/>
        <w:rPr>
          <w:rFonts w:ascii="宋体" w:hAnsi="宋体" w:eastAsia="宋体"/>
          <w:bCs/>
          <w:color w:val="auto"/>
          <w:sz w:val="24"/>
          <w:szCs w:val="18"/>
          <w:highlight w:val="none"/>
        </w:rPr>
      </w:pPr>
    </w:p>
    <w:p w14:paraId="2006E13D">
      <w:pPr>
        <w:pStyle w:val="30"/>
        <w:outlineLvl w:val="9"/>
        <w:rPr>
          <w:rFonts w:ascii="宋体" w:hAnsi="宋体" w:eastAsia="宋体"/>
          <w:bCs/>
          <w:color w:val="auto"/>
          <w:sz w:val="24"/>
          <w:szCs w:val="18"/>
          <w:highlight w:val="none"/>
        </w:rPr>
      </w:pPr>
    </w:p>
    <w:p w14:paraId="3A3E4977">
      <w:pPr>
        <w:pStyle w:val="30"/>
        <w:outlineLvl w:val="9"/>
        <w:rPr>
          <w:rFonts w:ascii="宋体" w:hAnsi="宋体" w:eastAsia="宋体"/>
          <w:bCs/>
          <w:color w:val="auto"/>
          <w:sz w:val="24"/>
          <w:szCs w:val="18"/>
          <w:highlight w:val="none"/>
        </w:rPr>
      </w:pPr>
    </w:p>
    <w:p w14:paraId="56B9B749">
      <w:pPr>
        <w:pStyle w:val="30"/>
        <w:outlineLvl w:val="9"/>
        <w:rPr>
          <w:rFonts w:ascii="宋体" w:hAnsi="宋体" w:eastAsia="宋体"/>
          <w:bCs/>
          <w:color w:val="auto"/>
          <w:sz w:val="24"/>
          <w:szCs w:val="18"/>
          <w:highlight w:val="none"/>
        </w:rPr>
      </w:pPr>
    </w:p>
    <w:p w14:paraId="77D8E683">
      <w:pPr>
        <w:pStyle w:val="30"/>
        <w:outlineLvl w:val="9"/>
        <w:rPr>
          <w:rFonts w:ascii="宋体" w:hAnsi="宋体" w:eastAsia="宋体"/>
          <w:bCs/>
          <w:color w:val="auto"/>
          <w:sz w:val="24"/>
          <w:szCs w:val="18"/>
          <w:highlight w:val="none"/>
        </w:rPr>
      </w:pPr>
    </w:p>
    <w:p w14:paraId="3E03480C">
      <w:pPr>
        <w:pStyle w:val="30"/>
        <w:outlineLvl w:val="9"/>
        <w:rPr>
          <w:rFonts w:ascii="宋体" w:hAnsi="宋体" w:eastAsia="宋体"/>
          <w:bCs/>
          <w:color w:val="auto"/>
          <w:sz w:val="24"/>
          <w:szCs w:val="18"/>
          <w:highlight w:val="none"/>
        </w:rPr>
      </w:pPr>
    </w:p>
    <w:p w14:paraId="05BF0C11">
      <w:pPr>
        <w:pStyle w:val="30"/>
        <w:outlineLvl w:val="9"/>
        <w:rPr>
          <w:rFonts w:ascii="宋体" w:hAnsi="宋体" w:eastAsia="宋体"/>
          <w:bCs/>
          <w:color w:val="auto"/>
          <w:sz w:val="24"/>
          <w:szCs w:val="18"/>
          <w:highlight w:val="none"/>
        </w:rPr>
      </w:pPr>
    </w:p>
    <w:p w14:paraId="33B7DA97">
      <w:pPr>
        <w:pStyle w:val="30"/>
        <w:outlineLvl w:val="9"/>
        <w:rPr>
          <w:rFonts w:ascii="宋体" w:hAnsi="宋体" w:eastAsia="宋体"/>
          <w:bCs/>
          <w:color w:val="auto"/>
          <w:sz w:val="24"/>
          <w:szCs w:val="18"/>
          <w:highlight w:val="none"/>
        </w:rPr>
      </w:pPr>
    </w:p>
    <w:p w14:paraId="39CBFED0">
      <w:pPr>
        <w:pStyle w:val="30"/>
        <w:outlineLvl w:val="9"/>
        <w:rPr>
          <w:rFonts w:ascii="宋体" w:hAnsi="宋体" w:eastAsia="宋体"/>
          <w:bCs/>
          <w:color w:val="auto"/>
          <w:sz w:val="24"/>
          <w:szCs w:val="18"/>
          <w:highlight w:val="none"/>
        </w:rPr>
      </w:pPr>
    </w:p>
    <w:p w14:paraId="24004718">
      <w:pPr>
        <w:pStyle w:val="30"/>
        <w:outlineLvl w:val="9"/>
        <w:rPr>
          <w:rFonts w:ascii="宋体" w:hAnsi="宋体" w:eastAsia="宋体"/>
          <w:bCs/>
          <w:color w:val="auto"/>
          <w:sz w:val="24"/>
          <w:szCs w:val="18"/>
          <w:highlight w:val="none"/>
        </w:rPr>
      </w:pPr>
    </w:p>
    <w:p w14:paraId="3CAD941D">
      <w:pPr>
        <w:pStyle w:val="30"/>
        <w:outlineLvl w:val="9"/>
        <w:rPr>
          <w:rFonts w:ascii="宋体" w:hAnsi="宋体" w:eastAsia="宋体"/>
          <w:bCs/>
          <w:color w:val="auto"/>
          <w:sz w:val="24"/>
          <w:szCs w:val="18"/>
          <w:highlight w:val="none"/>
        </w:rPr>
      </w:pPr>
    </w:p>
    <w:p w14:paraId="7E38179B">
      <w:pPr>
        <w:pStyle w:val="30"/>
        <w:outlineLvl w:val="9"/>
        <w:rPr>
          <w:rFonts w:ascii="宋体" w:hAnsi="宋体" w:eastAsia="宋体"/>
          <w:bCs/>
          <w:color w:val="auto"/>
          <w:sz w:val="24"/>
          <w:szCs w:val="18"/>
          <w:highlight w:val="none"/>
        </w:rPr>
      </w:pPr>
    </w:p>
    <w:p w14:paraId="53FC0B0A">
      <w:pPr>
        <w:pStyle w:val="30"/>
        <w:outlineLvl w:val="9"/>
        <w:rPr>
          <w:rFonts w:ascii="宋体" w:hAnsi="宋体" w:eastAsia="宋体"/>
          <w:bCs/>
          <w:color w:val="auto"/>
          <w:sz w:val="24"/>
          <w:szCs w:val="18"/>
          <w:highlight w:val="none"/>
        </w:rPr>
      </w:pPr>
    </w:p>
    <w:p w14:paraId="3C422ECF">
      <w:pPr>
        <w:pStyle w:val="30"/>
        <w:outlineLvl w:val="9"/>
        <w:rPr>
          <w:rFonts w:ascii="宋体" w:hAnsi="宋体" w:eastAsia="宋体"/>
          <w:bCs/>
          <w:color w:val="auto"/>
          <w:sz w:val="24"/>
          <w:szCs w:val="18"/>
          <w:highlight w:val="none"/>
        </w:rPr>
      </w:pPr>
    </w:p>
    <w:p w14:paraId="5D5770DE">
      <w:pPr>
        <w:pStyle w:val="30"/>
        <w:outlineLvl w:val="9"/>
        <w:rPr>
          <w:rFonts w:ascii="宋体" w:hAnsi="宋体" w:eastAsia="宋体"/>
          <w:bCs/>
          <w:color w:val="auto"/>
          <w:sz w:val="24"/>
          <w:szCs w:val="18"/>
          <w:highlight w:val="none"/>
        </w:rPr>
      </w:pPr>
    </w:p>
    <w:p w14:paraId="512DA5B7">
      <w:pPr>
        <w:pStyle w:val="30"/>
        <w:outlineLvl w:val="9"/>
        <w:rPr>
          <w:rFonts w:ascii="宋体" w:hAnsi="宋体" w:eastAsia="宋体"/>
          <w:bCs/>
          <w:color w:val="auto"/>
          <w:sz w:val="24"/>
          <w:szCs w:val="18"/>
          <w:highlight w:val="none"/>
        </w:rPr>
      </w:pPr>
    </w:p>
    <w:p w14:paraId="55BF1603">
      <w:pPr>
        <w:pStyle w:val="30"/>
        <w:outlineLvl w:val="9"/>
        <w:rPr>
          <w:rFonts w:ascii="宋体" w:hAnsi="宋体" w:eastAsia="宋体"/>
          <w:bCs/>
          <w:color w:val="auto"/>
          <w:sz w:val="24"/>
          <w:szCs w:val="18"/>
          <w:highlight w:val="none"/>
        </w:rPr>
      </w:pPr>
    </w:p>
    <w:p w14:paraId="22F00AA6">
      <w:pPr>
        <w:pStyle w:val="30"/>
        <w:outlineLvl w:val="9"/>
        <w:rPr>
          <w:rFonts w:ascii="宋体" w:hAnsi="宋体" w:eastAsia="宋体"/>
          <w:bCs/>
          <w:color w:val="auto"/>
          <w:sz w:val="24"/>
          <w:szCs w:val="18"/>
          <w:highlight w:val="none"/>
        </w:rPr>
      </w:pPr>
    </w:p>
    <w:p w14:paraId="45AF8EBD">
      <w:pPr>
        <w:spacing w:line="360" w:lineRule="auto"/>
        <w:jc w:val="center"/>
        <w:outlineLvl w:val="0"/>
        <w:rPr>
          <w:rFonts w:asciiTheme="minorEastAsia" w:hAnsiTheme="minorEastAsia" w:eastAsiaTheme="minorEastAsia"/>
          <w:b/>
          <w:color w:val="auto"/>
          <w:sz w:val="28"/>
          <w:highlight w:val="none"/>
        </w:rPr>
      </w:pPr>
      <w:bookmarkStart w:id="11" w:name="_Toc4269"/>
      <w:r>
        <w:rPr>
          <w:rFonts w:hint="eastAsia" w:asciiTheme="minorEastAsia" w:hAnsiTheme="minorEastAsia" w:eastAsiaTheme="minorEastAsia"/>
          <w:b/>
          <w:color w:val="auto"/>
          <w:sz w:val="28"/>
          <w:highlight w:val="none"/>
        </w:rPr>
        <w:t>第四章  评标方法和标准（综合评分法）</w:t>
      </w:r>
      <w:bookmarkEnd w:id="11"/>
    </w:p>
    <w:p w14:paraId="793F6ACB">
      <w:pPr>
        <w:spacing w:line="360" w:lineRule="auto"/>
        <w:ind w:firstLine="437"/>
        <w:outlineLvl w:val="9"/>
        <w:rPr>
          <w:rFonts w:asciiTheme="minorEastAsia" w:hAnsiTheme="minorEastAsia" w:eastAsiaTheme="minorEastAsia"/>
          <w:b/>
          <w:color w:val="auto"/>
          <w:sz w:val="24"/>
          <w:highlight w:val="none"/>
        </w:rPr>
      </w:pPr>
      <w:bookmarkStart w:id="12" w:name="_Toc1246"/>
      <w:bookmarkStart w:id="13" w:name="_Toc11823"/>
      <w:r>
        <w:rPr>
          <w:rFonts w:hint="eastAsia" w:asciiTheme="minorEastAsia" w:hAnsiTheme="minorEastAsia" w:eastAsiaTheme="minorEastAsia"/>
          <w:b/>
          <w:color w:val="auto"/>
          <w:sz w:val="24"/>
          <w:highlight w:val="none"/>
        </w:rPr>
        <w:t>一、总则</w:t>
      </w:r>
      <w:bookmarkEnd w:id="12"/>
      <w:bookmarkEnd w:id="13"/>
    </w:p>
    <w:p w14:paraId="7C0FDF3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65894C4">
      <w:pPr>
        <w:spacing w:line="360" w:lineRule="auto"/>
        <w:ind w:firstLine="437"/>
        <w:outlineLvl w:val="9"/>
        <w:rPr>
          <w:rFonts w:asciiTheme="minorEastAsia" w:hAnsiTheme="minorEastAsia" w:eastAsiaTheme="minorEastAsia"/>
          <w:b/>
          <w:color w:val="auto"/>
          <w:sz w:val="24"/>
          <w:highlight w:val="none"/>
        </w:rPr>
      </w:pPr>
      <w:bookmarkStart w:id="14" w:name="_Toc13117"/>
      <w:bookmarkStart w:id="15" w:name="_Toc31871"/>
      <w:r>
        <w:rPr>
          <w:rFonts w:hint="eastAsia" w:asciiTheme="minorEastAsia" w:hAnsiTheme="minorEastAsia" w:eastAsiaTheme="minorEastAsia"/>
          <w:b/>
          <w:color w:val="auto"/>
          <w:sz w:val="24"/>
          <w:highlight w:val="none"/>
        </w:rPr>
        <w:t>二、评标方法</w:t>
      </w:r>
      <w:bookmarkEnd w:id="14"/>
      <w:bookmarkEnd w:id="15"/>
    </w:p>
    <w:p w14:paraId="27BD4193">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02"/>
        <w:gridCol w:w="5196"/>
        <w:gridCol w:w="1679"/>
      </w:tblGrid>
      <w:tr w14:paraId="29B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4C16D55">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D49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78C2A551">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863" w:type="pct"/>
            <w:tcBorders>
              <w:bottom w:val="single" w:color="auto" w:sz="4" w:space="0"/>
            </w:tcBorders>
            <w:vAlign w:val="center"/>
          </w:tcPr>
          <w:p w14:paraId="32E09E35">
            <w:pPr>
              <w:pStyle w:val="34"/>
              <w:pBdr>
                <w:bottom w:val="none" w:color="auto" w:sz="0" w:space="0"/>
              </w:pBdr>
              <w:tabs>
                <w:tab w:val="clear" w:pos="4153"/>
                <w:tab w:val="clear" w:pos="8306"/>
              </w:tabs>
              <w:snapToGrid w:val="0"/>
              <w:spacing w:line="360" w:lineRule="auto"/>
              <w:ind w:right="-10"/>
              <w:outlineLvl w:val="9"/>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800" w:type="pct"/>
            <w:tcBorders>
              <w:bottom w:val="single" w:color="auto" w:sz="4" w:space="0"/>
            </w:tcBorders>
            <w:vAlign w:val="center"/>
          </w:tcPr>
          <w:p w14:paraId="560D7823">
            <w:pPr>
              <w:adjustRightInd w:val="0"/>
              <w:snapToGrid w:val="0"/>
              <w:spacing w:line="360" w:lineRule="auto"/>
              <w:ind w:right="-10"/>
              <w:jc w:val="center"/>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903" w:type="pct"/>
            <w:tcBorders>
              <w:bottom w:val="single" w:color="auto" w:sz="4" w:space="0"/>
            </w:tcBorders>
            <w:vAlign w:val="center"/>
          </w:tcPr>
          <w:p w14:paraId="3105F1EC">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2A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32" w:type="pct"/>
            <w:tcBorders>
              <w:bottom w:val="single" w:color="auto" w:sz="4" w:space="0"/>
            </w:tcBorders>
            <w:vAlign w:val="center"/>
          </w:tcPr>
          <w:p w14:paraId="0CCF781A">
            <w:pPr>
              <w:adjustRightInd w:val="0"/>
              <w:snapToGrid w:val="0"/>
              <w:spacing w:line="360" w:lineRule="auto"/>
              <w:ind w:right="-10" w:rightChars="0"/>
              <w:jc w:val="center"/>
              <w:outlineLvl w:val="9"/>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863" w:type="pct"/>
            <w:tcBorders>
              <w:bottom w:val="single" w:color="auto" w:sz="4" w:space="0"/>
            </w:tcBorders>
            <w:vAlign w:val="center"/>
          </w:tcPr>
          <w:p w14:paraId="0551A1FB">
            <w:pPr>
              <w:spacing w:after="50" w:line="360" w:lineRule="auto"/>
              <w:ind w:right="-10" w:rightChars="0"/>
              <w:jc w:val="center"/>
              <w:outlineLvl w:val="9"/>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800" w:type="pct"/>
            <w:tcBorders>
              <w:bottom w:val="single" w:color="auto" w:sz="4" w:space="0"/>
            </w:tcBorders>
            <w:vAlign w:val="center"/>
          </w:tcPr>
          <w:p w14:paraId="5E8BAC65">
            <w:pPr>
              <w:spacing w:after="50" w:line="360" w:lineRule="auto"/>
              <w:ind w:right="-10" w:rightChars="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3615C6E">
            <w:pPr>
              <w:spacing w:after="50" w:line="360" w:lineRule="auto"/>
              <w:ind w:right="-10" w:rightChars="0"/>
              <w:jc w:val="left"/>
              <w:outlineLvl w:val="9"/>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tc>
        <w:tc>
          <w:tcPr>
            <w:tcW w:w="903" w:type="pct"/>
            <w:vAlign w:val="center"/>
          </w:tcPr>
          <w:p w14:paraId="03F7D485">
            <w:pPr>
              <w:spacing w:line="360" w:lineRule="auto"/>
              <w:jc w:val="left"/>
              <w:outlineLvl w:val="9"/>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499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2" w:type="pct"/>
            <w:tcBorders>
              <w:bottom w:val="single" w:color="auto" w:sz="4" w:space="0"/>
            </w:tcBorders>
            <w:vAlign w:val="center"/>
          </w:tcPr>
          <w:p w14:paraId="7E4449B2">
            <w:pPr>
              <w:adjustRightInd w:val="0"/>
              <w:snapToGrid w:val="0"/>
              <w:spacing w:line="360" w:lineRule="auto"/>
              <w:ind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63" w:type="pct"/>
            <w:tcBorders>
              <w:bottom w:val="single" w:color="auto" w:sz="4" w:space="0"/>
            </w:tcBorders>
            <w:vAlign w:val="center"/>
          </w:tcPr>
          <w:p w14:paraId="5C983F61">
            <w:pPr>
              <w:spacing w:after="50" w:line="360" w:lineRule="auto"/>
              <w:ind w:right="-10" w:rightChars="0"/>
              <w:jc w:val="center"/>
              <w:outlineLvl w:val="9"/>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0" w:type="pct"/>
            <w:tcBorders>
              <w:bottom w:val="single" w:color="auto" w:sz="4" w:space="0"/>
            </w:tcBorders>
            <w:vAlign w:val="center"/>
          </w:tcPr>
          <w:p w14:paraId="5427E299">
            <w:pPr>
              <w:spacing w:after="50" w:line="360" w:lineRule="auto"/>
              <w:ind w:right="-10" w:rightChars="0"/>
              <w:jc w:val="left"/>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903" w:type="pct"/>
            <w:vAlign w:val="center"/>
          </w:tcPr>
          <w:p w14:paraId="225BE4A6">
            <w:pPr>
              <w:spacing w:line="360" w:lineRule="auto"/>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6C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5A9A4B5">
            <w:pPr>
              <w:adjustRightInd w:val="0"/>
              <w:snapToGrid w:val="0"/>
              <w:spacing w:line="360" w:lineRule="auto"/>
              <w:ind w:right="-1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863" w:type="pct"/>
            <w:vAlign w:val="center"/>
          </w:tcPr>
          <w:p w14:paraId="05ACED6A">
            <w:pPr>
              <w:spacing w:after="50" w:line="360" w:lineRule="auto"/>
              <w:ind w:right="-10"/>
              <w:jc w:val="center"/>
              <w:outlineLvl w:val="9"/>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0" w:type="pct"/>
            <w:vAlign w:val="center"/>
          </w:tcPr>
          <w:p w14:paraId="681AE38A">
            <w:pPr>
              <w:spacing w:after="50" w:line="360" w:lineRule="auto"/>
              <w:ind w:right="-10" w:rightChars="0"/>
              <w:jc w:val="left"/>
              <w:outlineLvl w:val="9"/>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903" w:type="pct"/>
            <w:vAlign w:val="center"/>
          </w:tcPr>
          <w:p w14:paraId="52B4BB6D">
            <w:pPr>
              <w:spacing w:line="360" w:lineRule="auto"/>
              <w:jc w:val="left"/>
              <w:outlineLvl w:val="9"/>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32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2D498803">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4</w:t>
            </w:r>
          </w:p>
        </w:tc>
        <w:tc>
          <w:tcPr>
            <w:tcW w:w="863" w:type="pct"/>
            <w:tcBorders>
              <w:bottom w:val="single" w:color="auto" w:sz="4" w:space="0"/>
            </w:tcBorders>
            <w:vAlign w:val="center"/>
          </w:tcPr>
          <w:p w14:paraId="53BA5AAF">
            <w:pPr>
              <w:keepNext w:val="0"/>
              <w:keepLines w:val="0"/>
              <w:suppressLineNumbers w:val="0"/>
              <w:spacing w:before="0" w:beforeAutospacing="0" w:after="50" w:afterAutospacing="0" w:line="360" w:lineRule="auto"/>
              <w:ind w:left="0" w:leftChars="0" w:right="-10" w:rightChars="0"/>
              <w:jc w:val="center"/>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诚信投标承诺书</w:t>
            </w:r>
          </w:p>
        </w:tc>
        <w:tc>
          <w:tcPr>
            <w:tcW w:w="2800" w:type="pct"/>
            <w:tcBorders>
              <w:bottom w:val="single" w:color="auto" w:sz="4" w:space="0"/>
            </w:tcBorders>
            <w:vAlign w:val="center"/>
          </w:tcPr>
          <w:p w14:paraId="2A040809">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olor w:val="auto"/>
                <w:sz w:val="24"/>
                <w:szCs w:val="18"/>
                <w:highlight w:val="none"/>
                <w:lang w:val="en-US" w:eastAsia="zh-CN"/>
              </w:rPr>
              <w:t>提</w:t>
            </w:r>
            <w:r>
              <w:rPr>
                <w:rFonts w:hint="default" w:ascii="宋体" w:hAnsi="宋体" w:eastAsia="宋体"/>
                <w:color w:val="auto"/>
                <w:sz w:val="24"/>
                <w:szCs w:val="18"/>
                <w:highlight w:val="none"/>
              </w:rPr>
              <w:t>供符合招标文件要求的《</w:t>
            </w:r>
            <w:r>
              <w:rPr>
                <w:rFonts w:hint="eastAsia" w:ascii="宋体" w:hAnsi="宋体" w:eastAsia="宋体"/>
                <w:color w:val="auto"/>
                <w:sz w:val="24"/>
                <w:szCs w:val="18"/>
                <w:highlight w:val="none"/>
              </w:rPr>
              <w:t>诚信投标承诺书</w:t>
            </w:r>
            <w:r>
              <w:rPr>
                <w:rFonts w:hint="default" w:ascii="宋体" w:hAnsi="宋体" w:eastAsia="宋体"/>
                <w:color w:val="auto"/>
                <w:sz w:val="24"/>
                <w:szCs w:val="18"/>
                <w:highlight w:val="none"/>
              </w:rPr>
              <w:t>》</w:t>
            </w:r>
            <w:r>
              <w:rPr>
                <w:rFonts w:hint="eastAsia" w:ascii="宋体" w:hAnsi="宋体" w:eastAsia="宋体"/>
                <w:color w:val="auto"/>
                <w:sz w:val="24"/>
                <w:szCs w:val="18"/>
                <w:highlight w:val="none"/>
                <w:lang w:eastAsia="zh-CN"/>
              </w:rPr>
              <w:t>。</w:t>
            </w:r>
          </w:p>
        </w:tc>
        <w:tc>
          <w:tcPr>
            <w:tcW w:w="903" w:type="pct"/>
            <w:tcBorders>
              <w:bottom w:val="single" w:color="auto" w:sz="4" w:space="0"/>
            </w:tcBorders>
            <w:vAlign w:val="center"/>
          </w:tcPr>
          <w:p w14:paraId="2566AC2D">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详见第六章投标文件格式</w:t>
            </w:r>
            <w:r>
              <w:rPr>
                <w:rFonts w:hint="eastAsia" w:ascii="宋体" w:hAnsi="宋体" w:eastAsia="宋体"/>
                <w:color w:val="auto"/>
                <w:sz w:val="24"/>
                <w:szCs w:val="18"/>
                <w:highlight w:val="none"/>
                <w:lang w:eastAsia="zh-CN"/>
              </w:rPr>
              <w:t>。</w:t>
            </w:r>
          </w:p>
        </w:tc>
      </w:tr>
    </w:tbl>
    <w:p w14:paraId="0892EA62">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3CA76C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47AF45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158"/>
        <w:gridCol w:w="3607"/>
        <w:gridCol w:w="2522"/>
      </w:tblGrid>
      <w:tr w14:paraId="6958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1432CE8">
            <w:pPr>
              <w:adjustRightInd w:val="0"/>
              <w:snapToGrid w:val="0"/>
              <w:spacing w:line="360" w:lineRule="auto"/>
              <w:ind w:right="-10"/>
              <w:jc w:val="center"/>
              <w:outlineLvl w:val="9"/>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97D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88" w:type="pct"/>
            <w:tcBorders>
              <w:bottom w:val="single" w:color="auto" w:sz="4" w:space="0"/>
            </w:tcBorders>
            <w:vAlign w:val="center"/>
          </w:tcPr>
          <w:p w14:paraId="225FE6AE">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1175" w:type="pct"/>
            <w:tcBorders>
              <w:bottom w:val="single" w:color="auto" w:sz="4" w:space="0"/>
            </w:tcBorders>
            <w:vAlign w:val="center"/>
          </w:tcPr>
          <w:p w14:paraId="02510A22">
            <w:pPr>
              <w:pStyle w:val="34"/>
              <w:pBdr>
                <w:bottom w:val="none" w:color="auto" w:sz="0" w:space="0"/>
              </w:pBdr>
              <w:tabs>
                <w:tab w:val="clear" w:pos="4153"/>
                <w:tab w:val="clear" w:pos="8306"/>
              </w:tabs>
              <w:snapToGrid w:val="0"/>
              <w:spacing w:line="360" w:lineRule="auto"/>
              <w:ind w:right="-10"/>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64" w:type="pct"/>
            <w:tcBorders>
              <w:bottom w:val="single" w:color="auto" w:sz="4" w:space="0"/>
            </w:tcBorders>
            <w:vAlign w:val="center"/>
          </w:tcPr>
          <w:p w14:paraId="47EA890F">
            <w:pPr>
              <w:adjustRightInd w:val="0"/>
              <w:snapToGrid w:val="0"/>
              <w:spacing w:line="360" w:lineRule="auto"/>
              <w:ind w:right="-10"/>
              <w:jc w:val="center"/>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1" w:type="pct"/>
            <w:tcBorders>
              <w:bottom w:val="single" w:color="auto" w:sz="4" w:space="0"/>
            </w:tcBorders>
            <w:vAlign w:val="center"/>
          </w:tcPr>
          <w:p w14:paraId="6681F58B">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F6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50808954">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75" w:type="pct"/>
            <w:vAlign w:val="center"/>
          </w:tcPr>
          <w:p w14:paraId="3DCF4A0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64" w:type="pct"/>
            <w:vAlign w:val="center"/>
          </w:tcPr>
          <w:p w14:paraId="43ECB741">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736B087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9D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25CB01DC">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75" w:type="pct"/>
            <w:vAlign w:val="center"/>
          </w:tcPr>
          <w:p w14:paraId="44E8DCE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64" w:type="pct"/>
            <w:vAlign w:val="center"/>
          </w:tcPr>
          <w:p w14:paraId="00A2C93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5A5F6DB6">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E80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354C512E">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75" w:type="pct"/>
            <w:vAlign w:val="center"/>
          </w:tcPr>
          <w:p w14:paraId="4BB4DF9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64" w:type="pct"/>
            <w:vAlign w:val="center"/>
          </w:tcPr>
          <w:p w14:paraId="3E2DC76C">
            <w:pPr>
              <w:keepNext w:val="0"/>
              <w:keepLines w:val="0"/>
              <w:suppressLineNumbers w:val="0"/>
              <w:spacing w:before="0" w:beforeAutospacing="0" w:after="50" w:afterAutospacing="0" w:line="360" w:lineRule="auto"/>
              <w:ind w:left="0" w:leftChars="0"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371" w:type="pct"/>
            <w:vAlign w:val="center"/>
          </w:tcPr>
          <w:p w14:paraId="4452C05B">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089C1BBF">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75" w:type="pct"/>
            <w:vAlign w:val="center"/>
          </w:tcPr>
          <w:p w14:paraId="159305FB">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64" w:type="pct"/>
            <w:vAlign w:val="center"/>
          </w:tcPr>
          <w:p w14:paraId="664ABA6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371" w:type="pct"/>
            <w:vAlign w:val="center"/>
          </w:tcPr>
          <w:p w14:paraId="282429B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0F2C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682EC1DF">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75" w:type="pct"/>
            <w:vAlign w:val="center"/>
          </w:tcPr>
          <w:p w14:paraId="3BFDBD65">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64" w:type="pct"/>
            <w:vAlign w:val="center"/>
          </w:tcPr>
          <w:p w14:paraId="6E958628">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71" w:type="pct"/>
            <w:vAlign w:val="center"/>
          </w:tcPr>
          <w:p w14:paraId="29E979E8">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EE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43ABDE93">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175" w:type="pct"/>
            <w:vAlign w:val="center"/>
          </w:tcPr>
          <w:p w14:paraId="5B87CEE1">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964" w:type="pct"/>
            <w:vAlign w:val="center"/>
          </w:tcPr>
          <w:p w14:paraId="6428CF6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371" w:type="pct"/>
            <w:vAlign w:val="center"/>
          </w:tcPr>
          <w:p w14:paraId="374BEDB1">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CCB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1F690C75">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175" w:type="pct"/>
            <w:vAlign w:val="center"/>
          </w:tcPr>
          <w:p w14:paraId="6063A6B4">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964" w:type="pct"/>
            <w:vAlign w:val="center"/>
          </w:tcPr>
          <w:p w14:paraId="49F1CC9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371" w:type="pct"/>
            <w:vAlign w:val="center"/>
          </w:tcPr>
          <w:p w14:paraId="08777ED2">
            <w:pPr>
              <w:adjustRightInd w:val="0"/>
              <w:snapToGrid w:val="0"/>
              <w:spacing w:line="360" w:lineRule="auto"/>
              <w:ind w:right="-10"/>
              <w:jc w:val="center"/>
              <w:outlineLvl w:val="9"/>
              <w:rPr>
                <w:rFonts w:asciiTheme="minorEastAsia" w:hAnsiTheme="minorEastAsia" w:eastAsiaTheme="minorEastAsia"/>
                <w:color w:val="auto"/>
                <w:sz w:val="24"/>
                <w:highlight w:val="none"/>
              </w:rPr>
            </w:pPr>
          </w:p>
        </w:tc>
      </w:tr>
    </w:tbl>
    <w:p w14:paraId="12F8F6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49418D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896D35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7F083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4"/>
        <w:tblW w:w="56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16"/>
        <w:gridCol w:w="5170"/>
        <w:gridCol w:w="1591"/>
      </w:tblGrid>
      <w:tr w14:paraId="5B0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0B8293D1">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92" w:type="pct"/>
            <w:tcBorders>
              <w:top w:val="single" w:color="auto" w:sz="4" w:space="0"/>
              <w:left w:val="single" w:color="auto" w:sz="4" w:space="0"/>
              <w:bottom w:val="single" w:color="auto" w:sz="4" w:space="0"/>
              <w:right w:val="single" w:color="auto" w:sz="4" w:space="0"/>
            </w:tcBorders>
            <w:vAlign w:val="center"/>
          </w:tcPr>
          <w:p w14:paraId="4952CED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01" w:type="pct"/>
            <w:tcBorders>
              <w:top w:val="single" w:color="auto" w:sz="4" w:space="0"/>
              <w:left w:val="single" w:color="auto" w:sz="4" w:space="0"/>
              <w:bottom w:val="single" w:color="auto" w:sz="4" w:space="0"/>
              <w:right w:val="single" w:color="auto" w:sz="4" w:space="0"/>
            </w:tcBorders>
            <w:vAlign w:val="center"/>
          </w:tcPr>
          <w:p w14:paraId="26C0569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831" w:type="pct"/>
            <w:tcBorders>
              <w:top w:val="single" w:color="auto" w:sz="4" w:space="0"/>
              <w:left w:val="single" w:color="auto" w:sz="4" w:space="0"/>
              <w:bottom w:val="single" w:color="auto" w:sz="4" w:space="0"/>
              <w:right w:val="single" w:color="auto" w:sz="4" w:space="0"/>
            </w:tcBorders>
            <w:vAlign w:val="center"/>
          </w:tcPr>
          <w:p w14:paraId="1BDFE6E4">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71F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vMerge w:val="restart"/>
            <w:tcBorders>
              <w:top w:val="single" w:color="auto" w:sz="4" w:space="0"/>
              <w:left w:val="single" w:color="auto" w:sz="4" w:space="0"/>
              <w:right w:val="single" w:color="auto" w:sz="4" w:space="0"/>
            </w:tcBorders>
            <w:vAlign w:val="center"/>
          </w:tcPr>
          <w:p w14:paraId="165EC8BD">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35334342">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0252095">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资信标评审</w:t>
            </w:r>
          </w:p>
        </w:tc>
      </w:tr>
      <w:tr w14:paraId="51F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32CB03C">
            <w:pPr>
              <w:spacing w:line="360" w:lineRule="auto"/>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3576B354">
            <w:pPr>
              <w:widowControl/>
              <w:adjustRightInd w:val="0"/>
              <w:snapToGrid w:val="0"/>
              <w:spacing w:line="360" w:lineRule="auto"/>
              <w:jc w:val="center"/>
              <w:outlineLvl w:val="9"/>
              <w:rPr>
                <w:rFonts w:asciiTheme="minorEastAsia" w:hAnsiTheme="minorEastAsia" w:eastAsiaTheme="minorEastAsia"/>
                <w:bCs/>
                <w:color w:val="auto"/>
                <w:sz w:val="24"/>
                <w:highlight w:val="none"/>
              </w:rPr>
            </w:pPr>
            <w:r>
              <w:rPr>
                <w:rFonts w:hint="eastAsia" w:ascii="宋体" w:hAnsi="宋体" w:eastAsia="宋体" w:cs="宋体"/>
                <w:color w:val="auto"/>
                <w:kern w:val="0"/>
                <w:sz w:val="24"/>
                <w:highlight w:val="none"/>
              </w:rPr>
              <w:t>企业业绩</w:t>
            </w:r>
          </w:p>
        </w:tc>
        <w:tc>
          <w:tcPr>
            <w:tcW w:w="2701" w:type="pct"/>
            <w:tcBorders>
              <w:top w:val="single" w:color="auto" w:sz="4" w:space="0"/>
              <w:left w:val="single" w:color="auto" w:sz="4" w:space="0"/>
              <w:bottom w:val="single" w:color="auto" w:sz="4" w:space="0"/>
              <w:right w:val="single" w:color="auto" w:sz="4" w:space="0"/>
            </w:tcBorders>
            <w:vAlign w:val="center"/>
          </w:tcPr>
          <w:p w14:paraId="114E8709">
            <w:pPr>
              <w:widowControl/>
              <w:adjustRightInd w:val="0"/>
              <w:snapToGrid w:val="0"/>
              <w:spacing w:line="360" w:lineRule="auto"/>
              <w:jc w:val="left"/>
              <w:outlineLvl w:val="9"/>
              <w:rPr>
                <w:rFonts w:hint="eastAsia" w:eastAsia="宋体" w:asciiTheme="minorEastAsia" w:hAnsiTheme="minorEastAsia"/>
                <w:bCs/>
                <w:color w:val="auto"/>
                <w:sz w:val="24"/>
                <w:highlight w:val="none"/>
                <w:lang w:eastAsia="zh-CN"/>
              </w:rPr>
            </w:pPr>
            <w:r>
              <w:rPr>
                <w:rFonts w:hint="eastAsia" w:ascii="宋体" w:hAnsi="宋体" w:eastAsia="宋体" w:cs="宋体"/>
                <w:color w:val="auto"/>
                <w:kern w:val="0"/>
                <w:sz w:val="24"/>
                <w:highlight w:val="none"/>
              </w:rPr>
              <w:t>自202</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rPr>
              <w:t>7</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日至投标截止时间前，投标人具有工作站电脑业绩的，每提供一个的得</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分，本项满分</w:t>
            </w:r>
            <w:r>
              <w:rPr>
                <w:rFonts w:ascii="宋体" w:hAnsi="宋体" w:eastAsia="宋体" w:cs="宋体"/>
                <w:color w:val="auto"/>
                <w:kern w:val="0"/>
                <w:sz w:val="24"/>
                <w:highlight w:val="none"/>
              </w:rPr>
              <w:t>4</w:t>
            </w:r>
            <w:r>
              <w:rPr>
                <w:rFonts w:hint="eastAsia" w:ascii="宋体" w:hAnsi="宋体" w:eastAsia="宋体" w:cs="宋体"/>
                <w:color w:val="auto"/>
                <w:kern w:val="0"/>
                <w:sz w:val="24"/>
                <w:highlight w:val="none"/>
              </w:rPr>
              <w:t>分。</w:t>
            </w:r>
            <w:r>
              <w:rPr>
                <w:rFonts w:hint="eastAsia" w:ascii="宋体" w:hAnsi="宋体" w:eastAsia="宋体" w:cs="宋体"/>
                <w:b/>
                <w:bCs/>
                <w:color w:val="auto"/>
                <w:kern w:val="0"/>
                <w:sz w:val="24"/>
                <w:highlight w:val="none"/>
                <w:lang w:val="en-US" w:eastAsia="zh-CN"/>
              </w:rPr>
              <w:t>注：</w:t>
            </w:r>
            <w:r>
              <w:rPr>
                <w:rFonts w:hint="eastAsia" w:ascii="宋体" w:hAnsi="宋体" w:eastAsia="宋体" w:cs="宋体"/>
                <w:b/>
                <w:bCs/>
                <w:color w:val="auto"/>
                <w:kern w:val="0"/>
                <w:sz w:val="24"/>
                <w:highlight w:val="none"/>
              </w:rPr>
              <w:t>须同时提供采购合同</w:t>
            </w:r>
            <w:r>
              <w:rPr>
                <w:rFonts w:hint="eastAsia" w:asciiTheme="minorEastAsia" w:hAnsiTheme="minorEastAsia" w:eastAsiaTheme="minorEastAsia"/>
                <w:b/>
                <w:bCs/>
                <w:color w:val="auto"/>
                <w:sz w:val="24"/>
                <w:szCs w:val="20"/>
                <w:highlight w:val="none"/>
                <w:lang w:val="en-US" w:eastAsia="zh-CN"/>
              </w:rPr>
              <w:t>原件或加盖投标人公章的复印件</w:t>
            </w:r>
            <w:r>
              <w:rPr>
                <w:rFonts w:hint="eastAsia" w:ascii="宋体" w:hAnsi="宋体" w:eastAsia="宋体" w:cs="宋体"/>
                <w:b/>
                <w:bCs/>
                <w:color w:val="auto"/>
                <w:kern w:val="0"/>
                <w:sz w:val="24"/>
                <w:highlight w:val="none"/>
              </w:rPr>
              <w:t>，有效时间以合同签订时间为准</w:t>
            </w:r>
            <w:r>
              <w:rPr>
                <w:rFonts w:hint="eastAsia" w:ascii="宋体" w:hAnsi="宋体" w:eastAsia="宋体" w:cs="宋体"/>
                <w:b/>
                <w:bCs/>
                <w:color w:val="auto"/>
                <w:kern w:val="0"/>
                <w:sz w:val="24"/>
                <w:highlight w:val="none"/>
                <w:lang w:eastAsia="zh-CN"/>
              </w:rPr>
              <w:t>。</w:t>
            </w:r>
            <w:r>
              <w:rPr>
                <w:rFonts w:hint="eastAsia" w:asciiTheme="minorEastAsia" w:hAnsiTheme="minorEastAsia" w:eastAsiaTheme="minorEastAsia"/>
                <w:b/>
                <w:bCs/>
                <w:color w:val="auto"/>
                <w:sz w:val="24"/>
                <w:szCs w:val="20"/>
                <w:highlight w:val="none"/>
                <w:lang w:val="en-US" w:eastAsia="zh-CN"/>
              </w:rPr>
              <w:t>如合同中无法体现签订时间、项目内容的，须另附业主（合同甲方）证明材料。</w:t>
            </w:r>
          </w:p>
        </w:tc>
        <w:tc>
          <w:tcPr>
            <w:tcW w:w="831" w:type="pct"/>
            <w:tcBorders>
              <w:top w:val="single" w:color="auto" w:sz="4" w:space="0"/>
              <w:left w:val="single" w:color="auto" w:sz="4" w:space="0"/>
              <w:bottom w:val="single" w:color="auto" w:sz="4" w:space="0"/>
              <w:right w:val="single" w:color="auto" w:sz="4" w:space="0"/>
            </w:tcBorders>
            <w:vAlign w:val="center"/>
          </w:tcPr>
          <w:p w14:paraId="0C133726">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lang w:val="en-US"/>
              </w:rPr>
              <w:t>4分</w:t>
            </w:r>
          </w:p>
        </w:tc>
      </w:tr>
      <w:tr w14:paraId="7C81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E82D4B7">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vMerge w:val="restart"/>
            <w:tcBorders>
              <w:top w:val="single" w:color="auto" w:sz="4" w:space="0"/>
              <w:left w:val="single" w:color="auto" w:sz="4" w:space="0"/>
              <w:bottom w:val="single" w:color="auto" w:sz="4" w:space="0"/>
              <w:right w:val="single" w:color="auto" w:sz="4" w:space="0"/>
            </w:tcBorders>
            <w:vAlign w:val="center"/>
          </w:tcPr>
          <w:p w14:paraId="032A1777">
            <w:pPr>
              <w:widowControl/>
              <w:adjustRightInd w:val="0"/>
              <w:snapToGrid w:val="0"/>
              <w:spacing w:line="360" w:lineRule="auto"/>
              <w:jc w:val="center"/>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产品</w:t>
            </w:r>
            <w:r>
              <w:rPr>
                <w:rFonts w:hint="eastAsia" w:ascii="宋体" w:hAnsi="宋体" w:eastAsia="宋体" w:cs="宋体"/>
                <w:color w:val="auto"/>
                <w:kern w:val="0"/>
                <w:sz w:val="24"/>
                <w:highlight w:val="none"/>
                <w:lang w:val="en-US" w:eastAsia="zh-CN"/>
              </w:rPr>
              <w:t>性能</w:t>
            </w:r>
          </w:p>
        </w:tc>
        <w:tc>
          <w:tcPr>
            <w:tcW w:w="2701" w:type="pct"/>
            <w:tcBorders>
              <w:top w:val="single" w:color="auto" w:sz="4" w:space="0"/>
              <w:left w:val="single" w:color="auto" w:sz="4" w:space="0"/>
              <w:bottom w:val="single" w:color="auto" w:sz="4" w:space="0"/>
              <w:right w:val="single" w:color="auto" w:sz="4" w:space="0"/>
            </w:tcBorders>
            <w:vAlign w:val="center"/>
          </w:tcPr>
          <w:p w14:paraId="47424428">
            <w:pPr>
              <w:adjustRightInd w:val="0"/>
              <w:snapToGrid w:val="0"/>
              <w:spacing w:line="360" w:lineRule="auto"/>
              <w:contextualSpacing/>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为保障使用过程信息及人身安全，所投工作站产品整机通过数据接口性能和棱缘试验测试合格认证</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提供权威第三方认证机构出具的证书</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，得3分，</w:t>
            </w:r>
            <w:r>
              <w:rPr>
                <w:rFonts w:hint="eastAsia" w:ascii="宋体" w:hAnsi="宋体" w:eastAsia="宋体" w:cs="宋体"/>
                <w:b/>
                <w:bCs/>
                <w:color w:val="auto"/>
                <w:kern w:val="0"/>
                <w:sz w:val="24"/>
                <w:highlight w:val="none"/>
                <w:lang w:val="en-US" w:eastAsia="zh-CN"/>
              </w:rPr>
              <w:t>注：投标人须</w:t>
            </w:r>
            <w:r>
              <w:rPr>
                <w:rFonts w:hint="eastAsia" w:ascii="宋体" w:hAnsi="宋体" w:eastAsia="宋体" w:cs="宋体"/>
                <w:b/>
                <w:bCs/>
                <w:color w:val="auto"/>
                <w:kern w:val="0"/>
                <w:sz w:val="24"/>
                <w:highlight w:val="none"/>
              </w:rPr>
              <w:t>提供权威第三方认证机构出具的证书</w:t>
            </w:r>
            <w:r>
              <w:rPr>
                <w:rFonts w:hint="eastAsia" w:ascii="宋体" w:hAnsi="宋体" w:eastAsia="宋体" w:cs="宋体"/>
                <w:b/>
                <w:bCs/>
                <w:color w:val="auto"/>
                <w:kern w:val="0"/>
                <w:sz w:val="24"/>
                <w:highlight w:val="none"/>
                <w:lang w:val="en-US" w:eastAsia="zh-CN"/>
              </w:rPr>
              <w:t>的</w:t>
            </w:r>
            <w:r>
              <w:rPr>
                <w:rFonts w:hint="eastAsia" w:ascii="宋体" w:hAnsi="宋体" w:eastAsia="宋体" w:cs="宋体"/>
                <w:b/>
                <w:bCs/>
                <w:color w:val="auto"/>
                <w:kern w:val="0"/>
                <w:sz w:val="24"/>
                <w:highlight w:val="none"/>
              </w:rPr>
              <w:t>复印件</w:t>
            </w:r>
            <w:r>
              <w:rPr>
                <w:rFonts w:hint="eastAsia" w:ascii="宋体" w:hAnsi="宋体" w:eastAsia="宋体" w:cs="宋体"/>
                <w:b/>
                <w:bCs/>
                <w:color w:val="auto"/>
                <w:kern w:val="0"/>
                <w:sz w:val="24"/>
                <w:highlight w:val="none"/>
                <w:lang w:val="en-US" w:eastAsia="zh-CN"/>
              </w:rPr>
              <w:t>并加盖投标人公章。</w:t>
            </w:r>
          </w:p>
        </w:tc>
        <w:tc>
          <w:tcPr>
            <w:tcW w:w="831" w:type="pct"/>
            <w:tcBorders>
              <w:top w:val="single" w:color="auto" w:sz="4" w:space="0"/>
              <w:left w:val="single" w:color="auto" w:sz="4" w:space="0"/>
              <w:bottom w:val="single" w:color="auto" w:sz="4" w:space="0"/>
              <w:right w:val="single" w:color="auto" w:sz="4" w:space="0"/>
            </w:tcBorders>
            <w:vAlign w:val="center"/>
          </w:tcPr>
          <w:p w14:paraId="7E37A1D2">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w:t>
            </w:r>
            <w:r>
              <w:rPr>
                <w:rFonts w:hint="eastAsia" w:asciiTheme="minorEastAsia" w:hAnsiTheme="minorEastAsia" w:eastAsiaTheme="minorEastAsia"/>
                <w:b/>
                <w:bCs/>
                <w:color w:val="auto"/>
                <w:sz w:val="24"/>
                <w:highlight w:val="none"/>
                <w:lang w:val="en-US"/>
              </w:rPr>
              <w:t>分</w:t>
            </w:r>
          </w:p>
        </w:tc>
      </w:tr>
      <w:tr w14:paraId="6999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B28D26C">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vMerge w:val="continue"/>
            <w:tcBorders>
              <w:top w:val="single" w:color="auto" w:sz="4" w:space="0"/>
              <w:left w:val="single" w:color="auto" w:sz="4" w:space="0"/>
              <w:bottom w:val="single" w:color="auto" w:sz="4" w:space="0"/>
              <w:right w:val="single" w:color="auto" w:sz="4" w:space="0"/>
            </w:tcBorders>
            <w:vAlign w:val="center"/>
          </w:tcPr>
          <w:p w14:paraId="73025890">
            <w:pPr>
              <w:widowControl/>
              <w:adjustRightInd w:val="0"/>
              <w:snapToGrid w:val="0"/>
              <w:spacing w:line="360" w:lineRule="auto"/>
              <w:jc w:val="center"/>
              <w:outlineLvl w:val="9"/>
              <w:rPr>
                <w:rFonts w:asciiTheme="minorEastAsia" w:hAnsiTheme="minorEastAsia" w:eastAsiaTheme="minorEastAsia"/>
                <w:color w:val="auto"/>
                <w:sz w:val="24"/>
                <w:highlight w:val="none"/>
              </w:rPr>
            </w:pPr>
          </w:p>
        </w:tc>
        <w:tc>
          <w:tcPr>
            <w:tcW w:w="2701" w:type="pct"/>
            <w:tcBorders>
              <w:top w:val="single" w:color="auto" w:sz="4" w:space="0"/>
              <w:left w:val="single" w:color="auto" w:sz="4" w:space="0"/>
              <w:bottom w:val="single" w:color="auto" w:sz="4" w:space="0"/>
              <w:right w:val="single" w:color="auto" w:sz="4" w:space="0"/>
            </w:tcBorders>
            <w:vAlign w:val="center"/>
          </w:tcPr>
          <w:p w14:paraId="45A5C641">
            <w:pPr>
              <w:adjustRightInd w:val="0"/>
              <w:snapToGrid w:val="0"/>
              <w:spacing w:line="360" w:lineRule="auto"/>
              <w:contextualSpacing/>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所投工作站产品具有净化装置，且具有有效去除空气中的甲醛等有害气体(净化空气) 功能</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 xml:space="preserve">得 </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w:t>
            </w:r>
            <w:r>
              <w:rPr>
                <w:rFonts w:hint="eastAsia" w:ascii="宋体" w:hAnsi="宋体" w:eastAsia="宋体" w:cs="宋体"/>
                <w:b/>
                <w:bCs/>
                <w:color w:val="auto"/>
                <w:kern w:val="0"/>
                <w:sz w:val="24"/>
                <w:highlight w:val="none"/>
                <w:lang w:val="en-US" w:eastAsia="zh-CN"/>
              </w:rPr>
              <w:t>注：投标人须提供权威第三方认证机构出具的证书复印件并加盖投标人公章。</w:t>
            </w:r>
          </w:p>
        </w:tc>
        <w:tc>
          <w:tcPr>
            <w:tcW w:w="831" w:type="pct"/>
            <w:tcBorders>
              <w:top w:val="single" w:color="auto" w:sz="4" w:space="0"/>
              <w:left w:val="single" w:color="auto" w:sz="4" w:space="0"/>
              <w:bottom w:val="single" w:color="auto" w:sz="4" w:space="0"/>
              <w:right w:val="single" w:color="auto" w:sz="4" w:space="0"/>
            </w:tcBorders>
            <w:vAlign w:val="center"/>
          </w:tcPr>
          <w:p w14:paraId="34E6C433">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w:t>
            </w:r>
            <w:r>
              <w:rPr>
                <w:rFonts w:hint="eastAsia" w:asciiTheme="minorEastAsia" w:hAnsiTheme="minorEastAsia" w:eastAsiaTheme="minorEastAsia"/>
                <w:b/>
                <w:bCs/>
                <w:color w:val="auto"/>
                <w:sz w:val="24"/>
                <w:highlight w:val="none"/>
                <w:lang w:val="en-US"/>
              </w:rPr>
              <w:t>分</w:t>
            </w:r>
          </w:p>
        </w:tc>
      </w:tr>
      <w:tr w14:paraId="1FC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pct"/>
            <w:vMerge w:val="continue"/>
            <w:tcBorders>
              <w:left w:val="single" w:color="auto" w:sz="4" w:space="0"/>
              <w:right w:val="single" w:color="auto" w:sz="4" w:space="0"/>
            </w:tcBorders>
            <w:vAlign w:val="center"/>
          </w:tcPr>
          <w:p w14:paraId="1C897E38">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1BF03A39">
            <w:pPr>
              <w:widowControl/>
              <w:adjustRightInd w:val="0"/>
              <w:snapToGrid w:val="0"/>
              <w:spacing w:line="360" w:lineRule="auto"/>
              <w:jc w:val="center"/>
              <w:outlineLvl w:val="9"/>
              <w:rPr>
                <w:rFonts w:hint="eastAsia" w:asciiTheme="minorEastAsia" w:hAnsiTheme="minorEastAsia" w:eastAsiaTheme="minorEastAsia"/>
                <w:color w:val="auto"/>
                <w:sz w:val="24"/>
                <w:highlight w:val="none"/>
                <w:lang w:eastAsia="zh-CN"/>
              </w:rPr>
            </w:pPr>
            <w:r>
              <w:rPr>
                <w:rFonts w:hint="eastAsia" w:ascii="宋体" w:hAnsi="宋体" w:eastAsia="宋体" w:cs="宋体"/>
                <w:color w:val="auto"/>
                <w:kern w:val="0"/>
                <w:sz w:val="24"/>
                <w:highlight w:val="none"/>
                <w:lang w:val="en-US" w:eastAsia="zh-CN"/>
              </w:rPr>
              <w:t>企业实力</w:t>
            </w:r>
          </w:p>
        </w:tc>
        <w:tc>
          <w:tcPr>
            <w:tcW w:w="2701" w:type="pct"/>
            <w:tcBorders>
              <w:top w:val="single" w:color="auto" w:sz="4" w:space="0"/>
              <w:left w:val="single" w:color="auto" w:sz="4" w:space="0"/>
              <w:right w:val="single" w:color="auto" w:sz="4" w:space="0"/>
            </w:tcBorders>
            <w:vAlign w:val="center"/>
          </w:tcPr>
          <w:p w14:paraId="6BC8FD1E">
            <w:pPr>
              <w:pStyle w:val="63"/>
              <w:adjustRightInd w:val="0"/>
              <w:snapToGrid w:val="0"/>
              <w:ind w:firstLine="0" w:firstLineChars="0"/>
              <w:outlineLvl w:val="9"/>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具备国家信息安全服务资质证书（安全工程类一级）认证，得3分。</w:t>
            </w:r>
            <w:r>
              <w:rPr>
                <w:rFonts w:hint="eastAsia" w:ascii="宋体" w:hAnsi="宋体" w:eastAsia="宋体" w:cs="宋体"/>
                <w:b/>
                <w:bCs/>
                <w:color w:val="auto"/>
                <w:kern w:val="0"/>
                <w:sz w:val="24"/>
                <w:highlight w:val="none"/>
                <w:lang w:val="en-US" w:eastAsia="zh-CN"/>
              </w:rPr>
              <w:t>注：须提供证书的复印件并加盖投标人公章。</w:t>
            </w:r>
          </w:p>
          <w:p w14:paraId="2C0B75A4">
            <w:pPr>
              <w:pStyle w:val="63"/>
              <w:adjustRightInd w:val="0"/>
              <w:snapToGrid w:val="0"/>
              <w:ind w:firstLine="0" w:firstLineChars="0"/>
              <w:outlineLvl w:val="9"/>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通过中国合格评定国家认可委员会（CNAS）可靠性实验室认证，得3分。</w:t>
            </w:r>
            <w:r>
              <w:rPr>
                <w:rFonts w:hint="eastAsia" w:ascii="宋体" w:hAnsi="宋体" w:eastAsia="宋体" w:cs="宋体"/>
                <w:b/>
                <w:bCs/>
                <w:color w:val="auto"/>
                <w:kern w:val="0"/>
                <w:sz w:val="24"/>
                <w:highlight w:val="none"/>
                <w:lang w:val="en-US" w:eastAsia="zh-CN"/>
              </w:rPr>
              <w:t>注：须提供证书的复印件并加盖投标人公章。</w:t>
            </w:r>
          </w:p>
          <w:p w14:paraId="6F9A67C3">
            <w:pPr>
              <w:pStyle w:val="63"/>
              <w:adjustRightInd w:val="0"/>
              <w:snapToGrid w:val="0"/>
              <w:ind w:firstLine="0" w:firstLineChars="0"/>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获得高新技术企业认证证书的得4分。</w:t>
            </w:r>
            <w:r>
              <w:rPr>
                <w:rFonts w:hint="eastAsia" w:ascii="宋体" w:hAnsi="宋体" w:eastAsia="宋体" w:cs="宋体"/>
                <w:b/>
                <w:bCs/>
                <w:color w:val="auto"/>
                <w:kern w:val="0"/>
                <w:sz w:val="24"/>
                <w:highlight w:val="none"/>
                <w:lang w:val="en-US" w:eastAsia="zh-CN"/>
              </w:rPr>
              <w:t>注：须提供有效证书、证明材料的复印件并加盖投标人公章。</w:t>
            </w:r>
          </w:p>
        </w:tc>
        <w:tc>
          <w:tcPr>
            <w:tcW w:w="831" w:type="pct"/>
            <w:tcBorders>
              <w:top w:val="single" w:color="auto" w:sz="4" w:space="0"/>
              <w:left w:val="single" w:color="auto" w:sz="4" w:space="0"/>
              <w:right w:val="single" w:color="auto" w:sz="4" w:space="0"/>
            </w:tcBorders>
            <w:vAlign w:val="center"/>
          </w:tcPr>
          <w:p w14:paraId="4489FB55">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0-10</w:t>
            </w:r>
            <w:r>
              <w:rPr>
                <w:rFonts w:hint="eastAsia" w:asciiTheme="minorEastAsia" w:hAnsiTheme="minorEastAsia" w:eastAsiaTheme="minorEastAsia"/>
                <w:b/>
                <w:bCs/>
                <w:color w:val="auto"/>
                <w:sz w:val="24"/>
                <w:highlight w:val="none"/>
                <w:lang w:val="en-US"/>
              </w:rPr>
              <w:t>分</w:t>
            </w:r>
          </w:p>
        </w:tc>
      </w:tr>
      <w:tr w14:paraId="414F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C6C9F1F">
            <w:pPr>
              <w:widowControl/>
              <w:adjustRightInd w:val="0"/>
              <w:snapToGrid w:val="0"/>
              <w:spacing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技术分</w:t>
            </w:r>
          </w:p>
          <w:p w14:paraId="67C8A1D7">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50</w:t>
            </w:r>
            <w:r>
              <w:rPr>
                <w:rFonts w:hint="eastAsia" w:ascii="宋体" w:hAnsi="宋体" w:eastAsia="宋体" w:cs="宋体"/>
                <w:color w:val="auto"/>
                <w:kern w:val="0"/>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ECBE899">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技术标评审</w:t>
            </w:r>
          </w:p>
        </w:tc>
      </w:tr>
      <w:tr w14:paraId="65FF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4DE7E61">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A882ECF">
            <w:pPr>
              <w:widowControl/>
              <w:adjustRightInd w:val="0"/>
              <w:snapToGrid w:val="0"/>
              <w:spacing w:line="360" w:lineRule="auto"/>
              <w:jc w:val="center"/>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技术参数响应情况</w:t>
            </w:r>
          </w:p>
        </w:tc>
        <w:tc>
          <w:tcPr>
            <w:tcW w:w="2701" w:type="pct"/>
            <w:tcBorders>
              <w:top w:val="single" w:color="auto" w:sz="4" w:space="0"/>
              <w:left w:val="single" w:color="auto" w:sz="4" w:space="0"/>
              <w:bottom w:val="single" w:color="auto" w:sz="4" w:space="0"/>
              <w:right w:val="single" w:color="auto" w:sz="4" w:space="0"/>
            </w:tcBorders>
            <w:vAlign w:val="center"/>
          </w:tcPr>
          <w:p w14:paraId="1FEA950B">
            <w:pPr>
              <w:pStyle w:val="63"/>
              <w:adjustRightInd w:val="0"/>
              <w:snapToGrid w:val="0"/>
              <w:ind w:firstLine="0" w:firstLineChars="0"/>
              <w:outlineLvl w:val="9"/>
              <w:rPr>
                <w:rFonts w:hint="default" w:ascii="宋体" w:hAnsi="宋体" w:eastAsia="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w:t>
            </w:r>
            <w:r>
              <w:rPr>
                <w:rFonts w:hint="eastAsia" w:ascii="宋体" w:hAnsi="宋体" w:eastAsia="宋体"/>
                <w:color w:val="auto"/>
                <w:kern w:val="0"/>
                <w:sz w:val="24"/>
                <w:highlight w:val="none"/>
                <w:lang w:val="en-US" w:eastAsia="zh-CN"/>
              </w:rPr>
              <w:t>标注“</w:t>
            </w:r>
            <w:r>
              <w:rPr>
                <w:rFonts w:hint="eastAsia"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”符号的</w:t>
            </w:r>
            <w:r>
              <w:rPr>
                <w:rFonts w:hint="eastAsia" w:ascii="宋体" w:hAnsi="宋体" w:eastAsia="宋体"/>
                <w:color w:val="auto"/>
                <w:kern w:val="0"/>
                <w:sz w:val="24"/>
                <w:highlight w:val="none"/>
              </w:rPr>
              <w:t>参数为实际需求参数必须全部满足</w:t>
            </w:r>
            <w:r>
              <w:rPr>
                <w:rFonts w:hint="eastAsia" w:ascii="宋体" w:hAnsi="宋体" w:eastAsia="宋体"/>
                <w:color w:val="auto"/>
                <w:kern w:val="0"/>
                <w:sz w:val="24"/>
                <w:highlight w:val="none"/>
                <w:lang w:eastAsia="zh-CN"/>
              </w:rPr>
              <w:t>，</w:t>
            </w:r>
            <w:r>
              <w:rPr>
                <w:rFonts w:hint="eastAsia" w:ascii="宋体" w:hAnsi="宋体" w:eastAsia="宋体"/>
                <w:color w:val="auto"/>
                <w:kern w:val="0"/>
                <w:sz w:val="24"/>
                <w:highlight w:val="none"/>
                <w:lang w:val="en-US" w:eastAsia="zh-CN"/>
              </w:rPr>
              <w:t>每有一项不响应或负偏离的作废标处理。</w:t>
            </w:r>
          </w:p>
          <w:p w14:paraId="1879A663">
            <w:pPr>
              <w:pStyle w:val="63"/>
              <w:adjustRightInd w:val="0"/>
              <w:snapToGrid w:val="0"/>
              <w:ind w:firstLine="0" w:firstLineChars="0"/>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②</w:t>
            </w:r>
            <w:r>
              <w:rPr>
                <w:rFonts w:hint="eastAsia" w:ascii="宋体" w:hAnsi="宋体" w:eastAsia="宋体" w:cs="宋体"/>
                <w:color w:val="auto"/>
                <w:kern w:val="0"/>
                <w:sz w:val="24"/>
                <w:highlight w:val="none"/>
                <w:lang w:val="en-US" w:eastAsia="zh-CN"/>
              </w:rPr>
              <w:t>未</w:t>
            </w:r>
            <w:r>
              <w:rPr>
                <w:rFonts w:hint="eastAsia" w:ascii="宋体" w:hAnsi="宋体" w:eastAsia="宋体"/>
                <w:color w:val="auto"/>
                <w:kern w:val="0"/>
                <w:sz w:val="24"/>
                <w:highlight w:val="none"/>
                <w:lang w:val="en-US" w:eastAsia="zh-CN"/>
              </w:rPr>
              <w:t>标注“</w:t>
            </w:r>
            <w:r>
              <w:rPr>
                <w:rFonts w:hint="eastAsia"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”符号的</w:t>
            </w:r>
            <w:r>
              <w:rPr>
                <w:rFonts w:hint="eastAsia" w:ascii="宋体" w:hAnsi="宋体" w:eastAsia="宋体"/>
                <w:color w:val="auto"/>
                <w:kern w:val="0"/>
                <w:sz w:val="24"/>
                <w:highlight w:val="none"/>
              </w:rPr>
              <w:t>参数完全满足</w:t>
            </w:r>
            <w:r>
              <w:rPr>
                <w:rFonts w:hint="eastAsia" w:ascii="宋体" w:hAnsi="宋体" w:eastAsia="宋体"/>
                <w:color w:val="auto"/>
                <w:kern w:val="0"/>
                <w:sz w:val="24"/>
                <w:highlight w:val="none"/>
                <w:lang w:val="en-US" w:eastAsia="zh-CN"/>
              </w:rPr>
              <w:t>或优于</w:t>
            </w:r>
            <w:r>
              <w:rPr>
                <w:rFonts w:hint="eastAsia" w:ascii="宋体" w:hAnsi="宋体" w:eastAsia="宋体"/>
                <w:color w:val="auto"/>
                <w:kern w:val="0"/>
                <w:sz w:val="24"/>
                <w:highlight w:val="none"/>
              </w:rPr>
              <w:t>采购文件要求的，得</w:t>
            </w:r>
            <w:r>
              <w:rPr>
                <w:rFonts w:hint="eastAsia" w:ascii="宋体" w:hAnsi="宋体" w:eastAsia="宋体"/>
                <w:color w:val="auto"/>
                <w:kern w:val="0"/>
                <w:sz w:val="24"/>
                <w:highlight w:val="none"/>
                <w:lang w:val="en-US" w:eastAsia="zh-CN"/>
              </w:rPr>
              <w:t>40</w:t>
            </w:r>
            <w:r>
              <w:rPr>
                <w:rFonts w:hint="eastAsia" w:ascii="宋体" w:hAnsi="宋体" w:eastAsia="宋体"/>
                <w:color w:val="auto"/>
                <w:kern w:val="0"/>
                <w:sz w:val="24"/>
                <w:highlight w:val="none"/>
              </w:rPr>
              <w:t>分， 每有一项</w:t>
            </w:r>
            <w:r>
              <w:rPr>
                <w:rFonts w:hint="eastAsia" w:ascii="宋体" w:hAnsi="宋体" w:eastAsia="宋体"/>
                <w:color w:val="auto"/>
                <w:kern w:val="0"/>
                <w:sz w:val="24"/>
                <w:highlight w:val="none"/>
                <w:lang w:val="en-US" w:eastAsia="zh-CN"/>
              </w:rPr>
              <w:t>不响应或</w:t>
            </w:r>
            <w:r>
              <w:rPr>
                <w:rFonts w:hint="eastAsia" w:ascii="宋体" w:hAnsi="宋体" w:eastAsia="宋体"/>
                <w:color w:val="auto"/>
                <w:kern w:val="0"/>
                <w:sz w:val="24"/>
                <w:highlight w:val="none"/>
              </w:rPr>
              <w:t>负偏离的扣5分</w:t>
            </w:r>
            <w:r>
              <w:rPr>
                <w:rFonts w:hint="eastAsia" w:ascii="宋体" w:hAnsi="宋体" w:eastAsia="宋体"/>
                <w:color w:val="auto"/>
                <w:kern w:val="0"/>
                <w:sz w:val="24"/>
                <w:highlight w:val="none"/>
                <w:lang w:eastAsia="zh-CN"/>
              </w:rPr>
              <w:t>，</w:t>
            </w:r>
            <w:r>
              <w:rPr>
                <w:rFonts w:hint="eastAsia" w:ascii="宋体" w:hAnsi="宋体" w:eastAsia="宋体"/>
                <w:color w:val="auto"/>
                <w:kern w:val="0"/>
                <w:sz w:val="24"/>
                <w:highlight w:val="none"/>
              </w:rPr>
              <w:t xml:space="preserve">扣完为止。 </w:t>
            </w:r>
            <w:r>
              <w:rPr>
                <w:rFonts w:hint="eastAsia" w:ascii="宋体" w:hAnsi="宋体" w:eastAsia="宋体" w:cs="宋体"/>
                <w:b/>
                <w:bCs/>
                <w:color w:val="auto"/>
                <w:kern w:val="0"/>
                <w:sz w:val="24"/>
                <w:highlight w:val="none"/>
              </w:rPr>
              <w:t>注：</w:t>
            </w:r>
            <w:r>
              <w:rPr>
                <w:rFonts w:hint="eastAsia" w:ascii="宋体" w:hAnsi="宋体" w:eastAsia="宋体" w:cs="宋体"/>
                <w:b/>
                <w:bCs/>
                <w:color w:val="auto"/>
                <w:kern w:val="0"/>
                <w:sz w:val="24"/>
                <w:highlight w:val="none"/>
                <w:lang w:val="en-US" w:eastAsia="zh-CN"/>
              </w:rPr>
              <w:t>投标人需填写技术参数响应表，明确技术参数是否响应，如与招标文件技术参数条款不一致应在表中列出正（或负）偏离，对技术参数响应表中明确不响应的，按负偏离处理，不在评审对应的证明材料。</w:t>
            </w:r>
          </w:p>
        </w:tc>
        <w:tc>
          <w:tcPr>
            <w:tcW w:w="831" w:type="pct"/>
            <w:tcBorders>
              <w:top w:val="single" w:color="auto" w:sz="4" w:space="0"/>
              <w:left w:val="single" w:color="auto" w:sz="4" w:space="0"/>
              <w:bottom w:val="single" w:color="auto" w:sz="4" w:space="0"/>
              <w:right w:val="single" w:color="auto" w:sz="4" w:space="0"/>
            </w:tcBorders>
            <w:vAlign w:val="center"/>
          </w:tcPr>
          <w:p w14:paraId="6B88F91C">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0-40</w:t>
            </w:r>
            <w:r>
              <w:rPr>
                <w:rFonts w:hint="eastAsia" w:asciiTheme="minorEastAsia" w:hAnsiTheme="minorEastAsia" w:eastAsiaTheme="minorEastAsia"/>
                <w:b/>
                <w:bCs/>
                <w:color w:val="auto"/>
                <w:sz w:val="24"/>
                <w:highlight w:val="none"/>
                <w:lang w:val="en-US"/>
              </w:rPr>
              <w:t>分</w:t>
            </w:r>
          </w:p>
        </w:tc>
      </w:tr>
      <w:tr w14:paraId="537D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73274159">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3ECA4D8">
            <w:pPr>
              <w:widowControl/>
              <w:adjustRightInd w:val="0"/>
              <w:snapToGrid w:val="0"/>
              <w:spacing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项目实施</w:t>
            </w:r>
          </w:p>
          <w:p w14:paraId="5E520E46">
            <w:pPr>
              <w:widowControl/>
              <w:adjustRightInd w:val="0"/>
              <w:snapToGrid w:val="0"/>
              <w:spacing w:line="360" w:lineRule="auto"/>
              <w:jc w:val="center"/>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方案</w:t>
            </w:r>
          </w:p>
        </w:tc>
        <w:tc>
          <w:tcPr>
            <w:tcW w:w="2701" w:type="pct"/>
            <w:tcBorders>
              <w:top w:val="single" w:color="auto" w:sz="4" w:space="0"/>
              <w:left w:val="single" w:color="auto" w:sz="4" w:space="0"/>
              <w:bottom w:val="single" w:color="auto" w:sz="4" w:space="0"/>
              <w:right w:val="single" w:color="auto" w:sz="4" w:space="0"/>
            </w:tcBorders>
            <w:vAlign w:val="center"/>
          </w:tcPr>
          <w:p w14:paraId="23981491">
            <w:pPr>
              <w:pStyle w:val="30"/>
              <w:adjustRightInd w:val="0"/>
              <w:snapToGrid w:val="0"/>
              <w:spacing w:line="360" w:lineRule="auto"/>
              <w:ind w:firstLine="0" w:firstLineChars="0"/>
              <w:outlineLvl w:val="9"/>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实施方案主要内容</w:t>
            </w:r>
            <w:r>
              <w:rPr>
                <w:rFonts w:hint="eastAsia" w:ascii="宋体" w:hAnsi="宋体" w:eastAsia="宋体" w:cs="宋体"/>
                <w:color w:val="auto"/>
                <w:sz w:val="24"/>
                <w:highlight w:val="none"/>
                <w:lang w:val="en-US" w:eastAsia="zh-CN"/>
              </w:rPr>
              <w:t>包括但不限于</w:t>
            </w:r>
            <w:r>
              <w:rPr>
                <w:rFonts w:hint="eastAsia" w:ascii="宋体" w:hAnsi="宋体" w:eastAsia="宋体" w:cs="宋体"/>
                <w:color w:val="auto"/>
                <w:sz w:val="24"/>
                <w:highlight w:val="none"/>
              </w:rPr>
              <w:t>：保证项目实施的技术力量和人力资源安排，保证供货质量的措施，保证交货安装工期的方案和措施，安装、调试、验收的方案和措施，对本项目有效的改进措施和合理化建议。由评标委员会根据投标人技术方案的先进性、合理性、全面性等进行综合评分：</w:t>
            </w:r>
            <w:r>
              <w:rPr>
                <w:rFonts w:hint="eastAsia" w:ascii="宋体" w:hAnsi="宋体" w:eastAsia="宋体" w:cs="宋体"/>
                <w:color w:val="auto"/>
                <w:sz w:val="24"/>
                <w:highlight w:val="none"/>
                <w:lang w:val="en-US"/>
              </w:rPr>
              <w:t>优秀得</w:t>
            </w:r>
            <w:r>
              <w:rPr>
                <w:rFonts w:ascii="宋体" w:hAnsi="宋体" w:eastAsia="宋体" w:cs="宋体"/>
                <w:color w:val="auto"/>
                <w:sz w:val="24"/>
                <w:highlight w:val="none"/>
                <w:lang w:val="en-US"/>
              </w:rPr>
              <w:t>10</w:t>
            </w:r>
            <w:r>
              <w:rPr>
                <w:rFonts w:hint="eastAsia" w:ascii="宋体" w:hAnsi="宋体" w:eastAsia="宋体" w:cs="宋体"/>
                <w:color w:val="auto"/>
                <w:sz w:val="24"/>
                <w:highlight w:val="none"/>
                <w:lang w:val="en-US"/>
              </w:rPr>
              <w:t>分，良好得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分，一般得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分，差得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分，未提供相关内容得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en-US"/>
              </w:rPr>
              <w:t>分。</w:t>
            </w:r>
          </w:p>
        </w:tc>
        <w:tc>
          <w:tcPr>
            <w:tcW w:w="831" w:type="pct"/>
            <w:tcBorders>
              <w:top w:val="single" w:color="auto" w:sz="4" w:space="0"/>
              <w:left w:val="single" w:color="auto" w:sz="4" w:space="0"/>
              <w:bottom w:val="single" w:color="auto" w:sz="4" w:space="0"/>
              <w:right w:val="single" w:color="auto" w:sz="4" w:space="0"/>
            </w:tcBorders>
            <w:vAlign w:val="center"/>
          </w:tcPr>
          <w:p w14:paraId="17EEA58B">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0-10</w:t>
            </w:r>
            <w:r>
              <w:rPr>
                <w:rFonts w:hint="eastAsia" w:asciiTheme="minorEastAsia" w:hAnsiTheme="minorEastAsia" w:eastAsiaTheme="minorEastAsia"/>
                <w:b/>
                <w:bCs/>
                <w:color w:val="auto"/>
                <w:sz w:val="24"/>
                <w:highlight w:val="none"/>
                <w:lang w:val="en-US"/>
              </w:rPr>
              <w:t>分</w:t>
            </w:r>
          </w:p>
        </w:tc>
      </w:tr>
      <w:tr w14:paraId="506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04929232">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CC320AD">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3CDE977B">
            <w:pPr>
              <w:spacing w:line="360" w:lineRule="auto"/>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分。其他投标人的价格分统一按照下列公式计算：投标报价得分＝（评标基准价/投标报价）×</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tc>
      </w:tr>
    </w:tbl>
    <w:p w14:paraId="35C2D08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509EF0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579D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7DEE87B6">
      <w:pPr>
        <w:spacing w:line="360" w:lineRule="auto"/>
        <w:jc w:val="center"/>
        <w:outlineLvl w:val="0"/>
        <w:rPr>
          <w:rFonts w:hint="eastAsia" w:asciiTheme="minorEastAsia" w:hAnsiTheme="minorEastAsia" w:eastAsiaTheme="minorEastAsia"/>
          <w:b/>
          <w:color w:val="auto"/>
          <w:sz w:val="28"/>
          <w:highlight w:val="none"/>
          <w:lang w:eastAsia="zh-CN"/>
        </w:rPr>
      </w:pPr>
      <w:bookmarkStart w:id="16" w:name="_Toc1367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16"/>
    </w:p>
    <w:p w14:paraId="28866270">
      <w:pPr>
        <w:numPr>
          <w:ilvl w:val="0"/>
          <w:numId w:val="1"/>
        </w:numPr>
        <w:spacing w:before="156" w:beforeLines="50" w:after="156" w:afterLines="50" w:line="440" w:lineRule="exact"/>
        <w:ind w:left="0" w:right="-92" w:rightChars="-44" w:firstLine="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bookmarkStart w:id="17" w:name="_Toc24395_WPSOffice_Level2"/>
      <w:bookmarkStart w:id="18" w:name="_Toc3809"/>
      <w:bookmarkStart w:id="19" w:name="_Toc6466"/>
      <w:r>
        <w:rPr>
          <w:rFonts w:hint="eastAsia" w:ascii="宋体" w:hAnsi="宋体" w:eastAsia="宋体" w:cs="宋体"/>
          <w:b/>
          <w:bCs/>
          <w:color w:val="auto"/>
          <w:sz w:val="24"/>
          <w:szCs w:val="24"/>
          <w:highlight w:val="none"/>
        </w:rPr>
        <w:t>合同协议书</w:t>
      </w:r>
      <w:bookmarkEnd w:id="17"/>
      <w:bookmarkEnd w:id="18"/>
      <w:bookmarkEnd w:id="19"/>
    </w:p>
    <w:p w14:paraId="170E0E53">
      <w:pPr>
        <w:spacing w:before="156" w:beforeLines="50" w:after="156" w:afterLines="50" w:line="440" w:lineRule="exact"/>
        <w:ind w:right="-92" w:rightChars="-44"/>
        <w:jc w:val="center"/>
        <w:outlineLvl w:val="9"/>
        <w:rPr>
          <w:rFonts w:hint="eastAsia" w:ascii="宋体" w:hAnsi="宋体" w:eastAsia="宋体" w:cs="宋体"/>
          <w:b/>
          <w:bCs/>
          <w:color w:val="auto"/>
          <w:sz w:val="24"/>
          <w:szCs w:val="24"/>
          <w:highlight w:val="none"/>
          <w:lang w:eastAsia="zh-CN"/>
        </w:rPr>
      </w:pPr>
      <w:bookmarkStart w:id="20" w:name="_Toc3154_WPSOffice_Level3"/>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合同名称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编号</w:t>
      </w:r>
      <w:bookmarkEnd w:id="20"/>
      <w:r>
        <w:rPr>
          <w:rFonts w:hint="eastAsia" w:ascii="宋体" w:hAnsi="宋体" w:eastAsia="宋体" w:cs="宋体"/>
          <w:b/>
          <w:bCs/>
          <w:color w:val="auto"/>
          <w:sz w:val="24"/>
          <w:szCs w:val="24"/>
          <w:highlight w:val="none"/>
          <w:lang w:eastAsia="zh-CN"/>
        </w:rPr>
        <w:t>：</w:t>
      </w:r>
    </w:p>
    <w:p w14:paraId="39AEEBDB">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37D7CF73">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7028705E">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                                   住    所：</w:t>
      </w:r>
    </w:p>
    <w:p w14:paraId="482F03B0">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经公开招标，确定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为中标人。按照中华人民共和国合同法的规定，买卖双方同意按照下述的条款和条件，签署本合同。</w:t>
      </w:r>
    </w:p>
    <w:p w14:paraId="54CD2D2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1、本合同文件</w:t>
      </w:r>
    </w:p>
    <w:p w14:paraId="64D62498">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下列每一文件均应作为合同的组成部分进行阅读和解释：</w:t>
      </w:r>
    </w:p>
    <w:p w14:paraId="4CC5B012">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（1）招标文件（2）投标文件（3）中标通知书</w:t>
      </w:r>
    </w:p>
    <w:p w14:paraId="35819919">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（4）经双方确认进入合同的其它文件、补充条款或说明</w:t>
      </w:r>
    </w:p>
    <w:p w14:paraId="3ABACF24">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2、采购标的、数量、质量要求</w:t>
      </w:r>
    </w:p>
    <w:p w14:paraId="2D67BE70">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w:t>
      </w:r>
    </w:p>
    <w:p w14:paraId="5607D994">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16DC293E">
      <w:pPr>
        <w:autoSpaceDN w:val="0"/>
        <w:spacing w:line="440" w:lineRule="exact"/>
        <w:ind w:right="-92" w:rightChars="-44"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14A2BF3">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6A04BEF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6.验收要求及违约责任</w:t>
      </w:r>
    </w:p>
    <w:p w14:paraId="249178B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7.违约责任及解决争议方法</w:t>
      </w:r>
    </w:p>
    <w:p w14:paraId="6EFC89B1">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8.合同的生效</w:t>
      </w:r>
    </w:p>
    <w:p w14:paraId="2155F4FF">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合同经双方授权代表签署，买卖双方加盖印章之后生效。</w:t>
      </w:r>
    </w:p>
    <w:p w14:paraId="0214DC16">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p>
    <w:p w14:paraId="122D4874">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本合同一式     份，双方各执     份。</w:t>
      </w:r>
    </w:p>
    <w:p w14:paraId="0976BFA8">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买  方：                          卖  方：</w:t>
      </w:r>
    </w:p>
    <w:p w14:paraId="532AAF9E">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名  称：（盖章）                  名  称：（盖章）</w:t>
      </w:r>
    </w:p>
    <w:p w14:paraId="007A75CA">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法定代表人（或委托代理人）：      法定代表人（或委托代理人）：</w:t>
      </w:r>
    </w:p>
    <w:p w14:paraId="1537194D">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（签字）                        （签字）</w:t>
      </w:r>
    </w:p>
    <w:p w14:paraId="35351B80">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地    址：                        地    址：</w:t>
      </w:r>
    </w:p>
    <w:p w14:paraId="68CB1B06">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邮政编码：                        邮政编码：</w:t>
      </w:r>
    </w:p>
    <w:p w14:paraId="467920FC">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电    话：                        电    话：</w:t>
      </w:r>
    </w:p>
    <w:p w14:paraId="56D844B7">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开户银行：                        开户银行：</w:t>
      </w:r>
    </w:p>
    <w:p w14:paraId="6C2BD5ED">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color="000000"/>
        </w:rPr>
        <w:t>帐    号：                        帐    号：</w:t>
      </w:r>
    </w:p>
    <w:p w14:paraId="737D2C6F">
      <w:pPr>
        <w:spacing w:line="440" w:lineRule="exact"/>
        <w:ind w:right="-92" w:rightChars="-44" w:firstLine="482" w:firstLineChars="200"/>
        <w:jc w:val="center"/>
        <w:outlineLvl w:val="9"/>
        <w:rPr>
          <w:rFonts w:hint="eastAsia" w:ascii="宋体" w:hAnsi="宋体" w:eastAsia="宋体" w:cs="宋体"/>
          <w:b/>
          <w:color w:val="auto"/>
          <w:sz w:val="24"/>
          <w:szCs w:val="24"/>
          <w:highlight w:val="none"/>
        </w:rPr>
      </w:pPr>
    </w:p>
    <w:p w14:paraId="02042747">
      <w:pPr>
        <w:spacing w:line="440" w:lineRule="exact"/>
        <w:ind w:right="-92" w:rightChars="-44" w:firstLine="482" w:firstLineChars="200"/>
        <w:jc w:val="center"/>
        <w:outlineLvl w:val="9"/>
        <w:rPr>
          <w:rFonts w:hint="eastAsia" w:ascii="宋体" w:hAnsi="宋体" w:eastAsia="宋体" w:cs="宋体"/>
          <w:b/>
          <w:color w:val="auto"/>
          <w:sz w:val="24"/>
          <w:szCs w:val="24"/>
          <w:highlight w:val="none"/>
        </w:rPr>
      </w:pPr>
      <w:bookmarkStart w:id="21" w:name="_Toc15841"/>
      <w:bookmarkStart w:id="22" w:name="_Toc23933"/>
      <w:r>
        <w:rPr>
          <w:rFonts w:hint="eastAsia" w:ascii="宋体" w:hAnsi="宋体" w:eastAsia="宋体" w:cs="宋体"/>
          <w:b/>
          <w:color w:val="auto"/>
          <w:sz w:val="24"/>
          <w:szCs w:val="24"/>
          <w:highlight w:val="none"/>
        </w:rPr>
        <w:t>二  合同条款</w:t>
      </w:r>
      <w:bookmarkEnd w:id="21"/>
      <w:bookmarkEnd w:id="22"/>
    </w:p>
    <w:p w14:paraId="16C9D1F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42C04183">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10D4DD3F">
      <w:pPr>
        <w:spacing w:line="440" w:lineRule="exact"/>
        <w:ind w:right="-92" w:rightChars="-44"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066DF1B7">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7B9608C0">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3B03BA35">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08C93246">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28840F2F">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9A44FFB">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&lt;4&gt;中标通知书、投标文件和招标文件；</w:t>
      </w:r>
    </w:p>
    <w:p w14:paraId="740712B7">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71D92C1A">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1A29C2C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391849A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(1)合同文件使用中文书写、解释和说明。</w:t>
      </w:r>
    </w:p>
    <w:p w14:paraId="5408404D">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14:paraId="6CC12CBB">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0D5715F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7383720D">
      <w:pPr>
        <w:tabs>
          <w:tab w:val="left" w:pos="660"/>
        </w:tabs>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1CEAFE1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1561D5E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56F4AA1">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5C0DEEB">
      <w:pPr>
        <w:pStyle w:val="6"/>
        <w:tabs>
          <w:tab w:val="left" w:pos="90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2D70A3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0725265E">
      <w:pPr>
        <w:pStyle w:val="6"/>
        <w:tabs>
          <w:tab w:val="left" w:pos="900"/>
        </w:tabs>
        <w:spacing w:line="440" w:lineRule="exact"/>
        <w:ind w:right="-92" w:rightChars="-44" w:firstLine="540" w:firstLineChars="225"/>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1701891">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607239C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(1)卖方除应履行按期按量交付合格标的物的义务之外，还应提供下列服务：</w:t>
      </w:r>
    </w:p>
    <w:p w14:paraId="4EBE544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&lt;1&gt;标的物的现场安装或指导安装、启动、调试、监督（如果必须安装、调试的话）；</w:t>
      </w:r>
    </w:p>
    <w:p w14:paraId="29EBBE3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&lt;2&gt;提供标的物组装和一般维修所必须的工具；</w:t>
      </w:r>
    </w:p>
    <w:p w14:paraId="4CA32CE5">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&lt;3&gt;在合同规定的期限内对所提供标的物实行运行监督、维修服务的前提条件是该服务并不能免除卖方在质量保证期内所承担的义务；</w:t>
      </w:r>
    </w:p>
    <w:p w14:paraId="65CB469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&lt;4&gt;对买方技术人员的技术指导或培训。</w:t>
      </w:r>
    </w:p>
    <w:p w14:paraId="42D2B32A">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(2)除合同另有规定之外，伴随服务的费用均已含在合同价款中，买方不再另行进行支付。</w:t>
      </w:r>
    </w:p>
    <w:p w14:paraId="70D6899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7385BA50">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2F0874C5">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(1)标的物的所有权自标的物交付时转移。</w:t>
      </w:r>
    </w:p>
    <w:p w14:paraId="31BF6F7D">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(2)卖方应当按照约定的期限和约定的地点交付符合招标文件要求的标的物。</w:t>
      </w:r>
    </w:p>
    <w:p w14:paraId="039AD183">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(3)卖方应当按照约定或者交易习惯向采购人交付提取标的物单证以外的有关单证和资料。</w:t>
      </w:r>
    </w:p>
    <w:p w14:paraId="24E3F8CD">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51503CA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6ECEA7A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(2)买方根据合同规定的内容和验收标准进行验收，经检验无误后出具验收合格证明，该证明作为最终付款所需文件的组成部分。</w:t>
      </w:r>
    </w:p>
    <w:p w14:paraId="405E412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(3)验收期限自标的物交付之日起三十天内。特殊情况需延长的，双方应在合同条款中约定。</w:t>
      </w:r>
    </w:p>
    <w:p w14:paraId="6F504BD6">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2330754A">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67997D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(1)买方在验收过程中，应当于双方约定的检验期间内将标的物的数量或质量不符合约定的情形及处理方式以书面形式通知卖方。</w:t>
      </w:r>
    </w:p>
    <w:p w14:paraId="12C0159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(2)如买方在验收期满后既不出具验收合格证明又未提出书面异议的视为卖方所交标的物符合合同规定。</w:t>
      </w:r>
    </w:p>
    <w:p w14:paraId="614112A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(3)卖方应在收到买方书面异议后七天内负责处理问题，否则将视为默认买方提出的异议和处理意见。</w:t>
      </w:r>
    </w:p>
    <w:p w14:paraId="154F500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720A048F">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F630B7">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(1)本合同的结算货币为人民币，单位元。</w:t>
      </w:r>
    </w:p>
    <w:p w14:paraId="3D4C0DAF">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(2)卖方应按照双方签订的合同规定交货并在合同主要条款规定的期限内持下列单据结算货款：</w:t>
      </w:r>
    </w:p>
    <w:p w14:paraId="1AAAB227">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&lt;1&gt;合格的销售发票；</w:t>
      </w:r>
    </w:p>
    <w:p w14:paraId="7F09348D">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&lt;2&gt;买方盖章签收后的送货回单和验收合格证明。</w:t>
      </w:r>
    </w:p>
    <w:p w14:paraId="0BB53FF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(3)买方应按合同主要条款规定的期限和方式付款。</w:t>
      </w:r>
    </w:p>
    <w:p w14:paraId="1870AA15">
      <w:pPr>
        <w:pStyle w:val="6"/>
        <w:tabs>
          <w:tab w:val="left" w:pos="54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14:paraId="5B5897A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1478B58">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15BAF567">
      <w:pPr>
        <w:pStyle w:val="6"/>
        <w:spacing w:line="440" w:lineRule="exact"/>
        <w:ind w:right="-92" w:rightChars="-44" w:firstLine="540" w:firstLineChars="225"/>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合同一方不履行合同义务或者履行合同义务不符合约定的，应当承担继续履行、采取补救措施或者赔偿损失等违约责任。</w:t>
      </w:r>
    </w:p>
    <w:p w14:paraId="3555617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38AAB4E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(1)在合同生效后，买方要求退货的，应向卖方偿付合同总价款的5%，作为违约金，违约金不足以补偿损失的，卖方有权要求甲方补足。</w:t>
      </w:r>
    </w:p>
    <w:p w14:paraId="3EF63ECA">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(2)买方逾期付款的应按照逾期付款金额的每天万分之四支付逾期付款违约金。</w:t>
      </w:r>
    </w:p>
    <w:p w14:paraId="0EB095D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(3)买方违反合同规定，拒绝接收卖方交付的符合招标文件要求的合格标的物，应当承担卖方由此造成的损失。</w:t>
      </w:r>
    </w:p>
    <w:p w14:paraId="7DEC258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5DA717A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2B6424B6">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56258C25">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4452FC1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14:paraId="64CE4E2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(2)合同一方因不可抗力不能履行合同的，应当及时通知对方，以减轻可能给对方造成的损失，并应当在合理期限内提供证明。</w:t>
      </w:r>
    </w:p>
    <w:p w14:paraId="032788A9">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3DC2C4A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6085E57C">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(1)买方有权根据当地产品质量检验机构或其它有权威部门出具的检验证书向卖方提出索赔。</w:t>
      </w:r>
    </w:p>
    <w:p w14:paraId="4FF678F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14:paraId="3E062490">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72130DA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&lt;2&gt;根据标的物的低劣程度、损坏程度以及甲方遭受损失的数额，经双方协商确定降低标的物的价格；</w:t>
      </w:r>
    </w:p>
    <w:p w14:paraId="46E0CC8C">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941352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9EA0E0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(4)买方提出索赔的书面材料应报当地政府采购管理部门备案。卖方同意的索赔方案应报当地政府采购管理部门审核。</w:t>
      </w:r>
    </w:p>
    <w:p w14:paraId="243C5EFA">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2CF6135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693EEAD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(1)卖方应在本合同签订时，按招标文件的约定提供相应的履约保证金，保证金的有效期应不低于合同有效期。</w:t>
      </w:r>
    </w:p>
    <w:p w14:paraId="3E92D0A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(2)如果卖方未能履行合同规定的任何义务，买方有权从履约保证金中取得补偿。</w:t>
      </w:r>
    </w:p>
    <w:p w14:paraId="192CF925">
      <w:pPr>
        <w:pStyle w:val="6"/>
        <w:overflowPunct w:val="0"/>
        <w:spacing w:line="440" w:lineRule="exact"/>
        <w:ind w:right="-92" w:rightChars="-44" w:firstLine="0"/>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九.  合同的解除和转让</w:t>
      </w:r>
    </w:p>
    <w:p w14:paraId="0229D6A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213CBABA">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(1)买方和卖方协商一致，可以解除合同。</w:t>
      </w:r>
    </w:p>
    <w:p w14:paraId="69B812E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(2)有下列情形之一，合同一方可以解除合同：</w:t>
      </w:r>
    </w:p>
    <w:p w14:paraId="5254710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&lt;1&gt;因不可抗力致使不能实现合同目的，未受不可抗力影响的一方有权解除合同；</w:t>
      </w:r>
    </w:p>
    <w:p w14:paraId="45C29D58">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&lt;2&gt;因合同一方违约导致合同不能履行，另一方有权解除合同。</w:t>
      </w:r>
    </w:p>
    <w:p w14:paraId="6269497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(3)有权解除合同的一方，应当在违约事实或不可抗力发生之后三十天内书面通知对方以主张解除合同，合同在书面通知到达对方时解除。</w:t>
      </w:r>
    </w:p>
    <w:p w14:paraId="0B08093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596182F6">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3E62BC1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5177A3F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2960C521">
      <w:pPr>
        <w:spacing w:line="440" w:lineRule="exact"/>
        <w:ind w:right="-92" w:rightChars="-44" w:firstLine="664" w:firstLineChars="2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34FC0EF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9444371">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228E7B11">
      <w:pPr>
        <w:pStyle w:val="6"/>
        <w:overflowPunct w:val="0"/>
        <w:spacing w:line="440" w:lineRule="exact"/>
        <w:ind w:right="-92" w:rightChars="-44"/>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 买卖双方因合同发生争议，进行调解，协商不成，可选择：</w:t>
      </w:r>
    </w:p>
    <w:p w14:paraId="38308F6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(1)双方同时</w:t>
      </w:r>
      <w:r>
        <w:rPr>
          <w:rFonts w:hint="eastAsia" w:ascii="宋体" w:hAnsi="宋体" w:eastAsia="宋体" w:cs="宋体"/>
          <w:color w:val="auto"/>
          <w:sz w:val="24"/>
          <w:szCs w:val="24"/>
          <w:highlight w:val="none"/>
        </w:rPr>
        <w:t>将争议提交滁州仲裁委员会</w:t>
      </w:r>
      <w:r>
        <w:rPr>
          <w:rFonts w:hint="eastAsia" w:ascii="宋体" w:hAnsi="宋体" w:eastAsia="宋体" w:cs="宋体"/>
          <w:color w:val="auto"/>
          <w:sz w:val="24"/>
          <w:szCs w:val="24"/>
          <w:highlight w:val="none"/>
          <w:u w:val="none" w:color="000000"/>
        </w:rPr>
        <w:t>进行仲裁；</w:t>
      </w:r>
    </w:p>
    <w:p w14:paraId="418DC5F5">
      <w:pPr>
        <w:pStyle w:val="6"/>
        <w:tabs>
          <w:tab w:val="left" w:pos="90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(2)向买方所在地人民法院提起诉讼。</w:t>
      </w:r>
    </w:p>
    <w:p w14:paraId="5CAA6558">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5A0DE5D4">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4644C145">
      <w:pPr>
        <w:spacing w:line="440" w:lineRule="exact"/>
        <w:ind w:right="-92" w:rightChars="-44"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本合同一式陆份，买卖双方各执二份，招标代理机构一份，招标采购管理部门一份。</w:t>
      </w:r>
    </w:p>
    <w:p w14:paraId="6C271821">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0AA718E5">
      <w:pPr>
        <w:spacing w:line="360" w:lineRule="auto"/>
        <w:ind w:firstLine="720" w:firstLineChars="3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E0BB175">
      <w:pPr>
        <w:spacing w:line="360" w:lineRule="auto"/>
        <w:ind w:firstLine="720" w:firstLineChars="300"/>
        <w:jc w:val="center"/>
        <w:outlineLvl w:val="9"/>
        <w:rPr>
          <w:rFonts w:hint="eastAsia" w:ascii="宋体" w:hAnsi="宋体" w:eastAsia="宋体" w:cs="宋体"/>
          <w:color w:val="auto"/>
          <w:sz w:val="24"/>
          <w:szCs w:val="24"/>
          <w:highlight w:val="none"/>
        </w:rPr>
      </w:pPr>
    </w:p>
    <w:p w14:paraId="3D94FD2C">
      <w:pPr>
        <w:spacing w:line="360" w:lineRule="auto"/>
        <w:ind w:firstLine="720" w:firstLineChars="300"/>
        <w:jc w:val="center"/>
        <w:outlineLvl w:val="0"/>
        <w:rPr>
          <w:rFonts w:hint="eastAsia" w:ascii="宋体" w:hAnsi="宋体" w:eastAsia="宋体" w:cs="宋体"/>
          <w:color w:val="auto"/>
          <w:sz w:val="24"/>
          <w:szCs w:val="24"/>
          <w:highlight w:val="none"/>
        </w:rPr>
      </w:pPr>
    </w:p>
    <w:p w14:paraId="4940BFF5">
      <w:pPr>
        <w:spacing w:line="360" w:lineRule="auto"/>
        <w:ind w:firstLine="720" w:firstLineChars="300"/>
        <w:jc w:val="center"/>
        <w:outlineLvl w:val="0"/>
        <w:rPr>
          <w:rFonts w:hint="eastAsia" w:ascii="宋体" w:hAnsi="宋体" w:eastAsia="宋体" w:cs="宋体"/>
          <w:color w:val="auto"/>
          <w:sz w:val="24"/>
          <w:szCs w:val="24"/>
          <w:highlight w:val="none"/>
        </w:rPr>
      </w:pPr>
    </w:p>
    <w:p w14:paraId="2A96CD14">
      <w:pPr>
        <w:spacing w:line="360" w:lineRule="auto"/>
        <w:ind w:firstLine="720" w:firstLineChars="300"/>
        <w:jc w:val="center"/>
        <w:outlineLvl w:val="0"/>
        <w:rPr>
          <w:rFonts w:hint="eastAsia" w:ascii="宋体" w:hAnsi="宋体" w:eastAsia="宋体" w:cs="宋体"/>
          <w:color w:val="auto"/>
          <w:sz w:val="24"/>
          <w:szCs w:val="24"/>
          <w:highlight w:val="none"/>
        </w:rPr>
      </w:pPr>
    </w:p>
    <w:p w14:paraId="3019EF2D">
      <w:pPr>
        <w:spacing w:line="360" w:lineRule="auto"/>
        <w:ind w:firstLine="720" w:firstLineChars="300"/>
        <w:jc w:val="center"/>
        <w:outlineLvl w:val="0"/>
        <w:rPr>
          <w:rFonts w:hint="eastAsia" w:ascii="宋体" w:hAnsi="宋体" w:eastAsia="宋体" w:cs="宋体"/>
          <w:color w:val="auto"/>
          <w:sz w:val="24"/>
          <w:szCs w:val="24"/>
          <w:highlight w:val="none"/>
        </w:rPr>
      </w:pPr>
    </w:p>
    <w:p w14:paraId="68EE1925">
      <w:pPr>
        <w:spacing w:line="360" w:lineRule="auto"/>
        <w:ind w:firstLine="720" w:firstLineChars="300"/>
        <w:jc w:val="center"/>
        <w:outlineLvl w:val="0"/>
        <w:rPr>
          <w:rFonts w:hint="eastAsia" w:ascii="宋体" w:hAnsi="宋体" w:eastAsia="宋体" w:cs="宋体"/>
          <w:color w:val="auto"/>
          <w:sz w:val="24"/>
          <w:szCs w:val="24"/>
          <w:highlight w:val="none"/>
        </w:rPr>
      </w:pPr>
    </w:p>
    <w:p w14:paraId="74E2C01F">
      <w:pPr>
        <w:spacing w:line="360" w:lineRule="auto"/>
        <w:ind w:firstLine="720" w:firstLineChars="300"/>
        <w:jc w:val="center"/>
        <w:outlineLvl w:val="0"/>
        <w:rPr>
          <w:rFonts w:hint="eastAsia" w:ascii="宋体" w:hAnsi="宋体" w:eastAsia="宋体" w:cs="宋体"/>
          <w:color w:val="auto"/>
          <w:sz w:val="24"/>
          <w:szCs w:val="24"/>
          <w:highlight w:val="none"/>
        </w:rPr>
      </w:pPr>
    </w:p>
    <w:p w14:paraId="1555600B">
      <w:pPr>
        <w:spacing w:line="360" w:lineRule="auto"/>
        <w:ind w:firstLine="720" w:firstLineChars="300"/>
        <w:jc w:val="center"/>
        <w:outlineLvl w:val="0"/>
        <w:rPr>
          <w:rFonts w:hint="eastAsia" w:ascii="宋体" w:hAnsi="宋体" w:eastAsia="宋体" w:cs="宋体"/>
          <w:color w:val="auto"/>
          <w:sz w:val="24"/>
          <w:szCs w:val="24"/>
          <w:highlight w:val="none"/>
        </w:rPr>
      </w:pPr>
    </w:p>
    <w:p w14:paraId="5288EB9A">
      <w:pPr>
        <w:spacing w:line="360" w:lineRule="auto"/>
        <w:ind w:firstLine="720" w:firstLineChars="300"/>
        <w:jc w:val="center"/>
        <w:outlineLvl w:val="0"/>
        <w:rPr>
          <w:rFonts w:hint="eastAsia" w:ascii="宋体" w:hAnsi="宋体" w:eastAsia="宋体" w:cs="宋体"/>
          <w:color w:val="auto"/>
          <w:sz w:val="24"/>
          <w:szCs w:val="24"/>
          <w:highlight w:val="none"/>
        </w:rPr>
      </w:pPr>
    </w:p>
    <w:p w14:paraId="6100CD78">
      <w:pPr>
        <w:pStyle w:val="30"/>
        <w:rPr>
          <w:rFonts w:hint="eastAsia" w:ascii="宋体" w:hAnsi="宋体" w:eastAsia="宋体" w:cs="宋体"/>
          <w:color w:val="auto"/>
          <w:sz w:val="24"/>
          <w:szCs w:val="24"/>
          <w:highlight w:val="none"/>
        </w:rPr>
      </w:pPr>
    </w:p>
    <w:p w14:paraId="6CAA6C6F">
      <w:pPr>
        <w:pStyle w:val="30"/>
        <w:rPr>
          <w:rFonts w:hint="eastAsia" w:ascii="宋体" w:hAnsi="宋体" w:eastAsia="宋体" w:cs="宋体"/>
          <w:color w:val="auto"/>
          <w:sz w:val="24"/>
          <w:szCs w:val="24"/>
          <w:highlight w:val="none"/>
        </w:rPr>
      </w:pPr>
    </w:p>
    <w:p w14:paraId="2502A076">
      <w:pPr>
        <w:pStyle w:val="30"/>
        <w:rPr>
          <w:rFonts w:hint="eastAsia" w:ascii="宋体" w:hAnsi="宋体" w:eastAsia="宋体" w:cs="宋体"/>
          <w:color w:val="auto"/>
          <w:sz w:val="24"/>
          <w:szCs w:val="24"/>
          <w:highlight w:val="none"/>
        </w:rPr>
      </w:pPr>
    </w:p>
    <w:p w14:paraId="212DC1B2">
      <w:pPr>
        <w:pStyle w:val="30"/>
        <w:rPr>
          <w:rFonts w:hint="eastAsia" w:ascii="宋体" w:hAnsi="宋体" w:eastAsia="宋体" w:cs="宋体"/>
          <w:color w:val="auto"/>
          <w:sz w:val="24"/>
          <w:szCs w:val="24"/>
          <w:highlight w:val="none"/>
        </w:rPr>
      </w:pPr>
    </w:p>
    <w:p w14:paraId="22142386">
      <w:pPr>
        <w:pStyle w:val="30"/>
        <w:rPr>
          <w:rFonts w:hint="eastAsia" w:ascii="宋体" w:hAnsi="宋体" w:eastAsia="宋体" w:cs="宋体"/>
          <w:color w:val="auto"/>
          <w:sz w:val="24"/>
          <w:szCs w:val="24"/>
          <w:highlight w:val="none"/>
        </w:rPr>
      </w:pPr>
    </w:p>
    <w:p w14:paraId="384C978B">
      <w:pPr>
        <w:pStyle w:val="30"/>
        <w:rPr>
          <w:rFonts w:hint="eastAsia" w:ascii="宋体" w:hAnsi="宋体" w:eastAsia="宋体" w:cs="宋体"/>
          <w:color w:val="auto"/>
          <w:sz w:val="24"/>
          <w:szCs w:val="24"/>
          <w:highlight w:val="none"/>
        </w:rPr>
      </w:pPr>
    </w:p>
    <w:p w14:paraId="2A603276">
      <w:pPr>
        <w:pStyle w:val="30"/>
        <w:rPr>
          <w:rFonts w:hint="eastAsia" w:ascii="宋体" w:hAnsi="宋体" w:eastAsia="宋体" w:cs="宋体"/>
          <w:color w:val="auto"/>
          <w:sz w:val="24"/>
          <w:szCs w:val="24"/>
          <w:highlight w:val="none"/>
        </w:rPr>
      </w:pPr>
    </w:p>
    <w:p w14:paraId="54046418">
      <w:pPr>
        <w:pStyle w:val="30"/>
        <w:rPr>
          <w:rFonts w:hint="eastAsia" w:ascii="宋体" w:hAnsi="宋体" w:eastAsia="宋体" w:cs="宋体"/>
          <w:color w:val="auto"/>
          <w:sz w:val="24"/>
          <w:szCs w:val="24"/>
          <w:highlight w:val="none"/>
        </w:rPr>
      </w:pPr>
    </w:p>
    <w:p w14:paraId="3DF1A990">
      <w:pPr>
        <w:pStyle w:val="30"/>
        <w:rPr>
          <w:rFonts w:hint="eastAsia" w:ascii="宋体" w:hAnsi="宋体" w:eastAsia="宋体" w:cs="宋体"/>
          <w:color w:val="auto"/>
          <w:sz w:val="24"/>
          <w:szCs w:val="24"/>
          <w:highlight w:val="none"/>
        </w:rPr>
      </w:pPr>
    </w:p>
    <w:p w14:paraId="665C0B97">
      <w:pPr>
        <w:pStyle w:val="30"/>
        <w:rPr>
          <w:rFonts w:hint="eastAsia" w:ascii="宋体" w:hAnsi="宋体" w:eastAsia="宋体" w:cs="宋体"/>
          <w:color w:val="auto"/>
          <w:sz w:val="24"/>
          <w:szCs w:val="24"/>
          <w:highlight w:val="none"/>
        </w:rPr>
      </w:pPr>
    </w:p>
    <w:p w14:paraId="7EE13A2F">
      <w:pPr>
        <w:pStyle w:val="30"/>
        <w:rPr>
          <w:rFonts w:hint="eastAsia" w:ascii="宋体" w:hAnsi="宋体" w:eastAsia="宋体" w:cs="宋体"/>
          <w:color w:val="auto"/>
          <w:sz w:val="24"/>
          <w:szCs w:val="24"/>
          <w:highlight w:val="none"/>
        </w:rPr>
      </w:pPr>
    </w:p>
    <w:p w14:paraId="3B8FC7FF">
      <w:pPr>
        <w:pStyle w:val="30"/>
        <w:rPr>
          <w:rFonts w:hint="eastAsia" w:ascii="宋体" w:hAnsi="宋体" w:eastAsia="宋体" w:cs="宋体"/>
          <w:color w:val="auto"/>
          <w:sz w:val="24"/>
          <w:szCs w:val="24"/>
          <w:highlight w:val="none"/>
        </w:rPr>
      </w:pPr>
    </w:p>
    <w:p w14:paraId="3AA5107A">
      <w:pPr>
        <w:pStyle w:val="30"/>
        <w:rPr>
          <w:rFonts w:hint="eastAsia" w:ascii="宋体" w:hAnsi="宋体" w:eastAsia="宋体" w:cs="宋体"/>
          <w:color w:val="auto"/>
          <w:sz w:val="24"/>
          <w:szCs w:val="24"/>
          <w:highlight w:val="none"/>
        </w:rPr>
      </w:pPr>
    </w:p>
    <w:p w14:paraId="5B164D4D">
      <w:pPr>
        <w:pStyle w:val="30"/>
        <w:rPr>
          <w:rFonts w:hint="eastAsia" w:ascii="宋体" w:hAnsi="宋体" w:eastAsia="宋体" w:cs="宋体"/>
          <w:color w:val="auto"/>
          <w:sz w:val="24"/>
          <w:szCs w:val="24"/>
          <w:highlight w:val="none"/>
        </w:rPr>
      </w:pPr>
    </w:p>
    <w:p w14:paraId="355AB51C">
      <w:pPr>
        <w:pStyle w:val="30"/>
        <w:outlineLvl w:val="9"/>
        <w:rPr>
          <w:rFonts w:hint="eastAsia" w:ascii="宋体" w:hAnsi="宋体" w:eastAsia="宋体" w:cs="宋体"/>
          <w:color w:val="auto"/>
          <w:sz w:val="24"/>
          <w:szCs w:val="24"/>
          <w:highlight w:val="none"/>
        </w:rPr>
      </w:pPr>
    </w:p>
    <w:p w14:paraId="0D916025">
      <w:pPr>
        <w:spacing w:line="360" w:lineRule="auto"/>
        <w:ind w:firstLine="720" w:firstLineChars="300"/>
        <w:jc w:val="center"/>
        <w:outlineLvl w:val="9"/>
        <w:rPr>
          <w:rFonts w:hint="eastAsia" w:ascii="宋体" w:hAnsi="宋体" w:eastAsia="宋体" w:cs="宋体"/>
          <w:color w:val="auto"/>
          <w:sz w:val="24"/>
          <w:szCs w:val="24"/>
          <w:highlight w:val="none"/>
        </w:rPr>
      </w:pPr>
    </w:p>
    <w:p w14:paraId="2A208DAE">
      <w:pPr>
        <w:spacing w:line="360" w:lineRule="auto"/>
        <w:ind w:firstLine="720" w:firstLineChars="300"/>
        <w:jc w:val="center"/>
        <w:outlineLvl w:val="9"/>
        <w:rPr>
          <w:rFonts w:hint="eastAsia" w:ascii="宋体" w:hAnsi="宋体" w:eastAsia="宋体" w:cs="宋体"/>
          <w:color w:val="auto"/>
          <w:sz w:val="24"/>
          <w:szCs w:val="24"/>
          <w:highlight w:val="none"/>
        </w:rPr>
      </w:pPr>
    </w:p>
    <w:p w14:paraId="553D1082">
      <w:pPr>
        <w:spacing w:line="360" w:lineRule="auto"/>
        <w:jc w:val="center"/>
        <w:outlineLvl w:val="0"/>
        <w:rPr>
          <w:rFonts w:asciiTheme="minorEastAsia" w:hAnsiTheme="minorEastAsia" w:eastAsiaTheme="minorEastAsia"/>
          <w:b/>
          <w:color w:val="auto"/>
          <w:sz w:val="28"/>
          <w:highlight w:val="none"/>
        </w:rPr>
      </w:pPr>
      <w:bookmarkStart w:id="23" w:name="_Toc18781"/>
      <w:r>
        <w:rPr>
          <w:rFonts w:hint="eastAsia" w:asciiTheme="minorEastAsia" w:hAnsiTheme="minorEastAsia" w:eastAsiaTheme="minorEastAsia"/>
          <w:b/>
          <w:color w:val="auto"/>
          <w:sz w:val="28"/>
          <w:highlight w:val="none"/>
        </w:rPr>
        <w:t>第六章  投标文件格式</w:t>
      </w:r>
      <w:bookmarkEnd w:id="23"/>
    </w:p>
    <w:p w14:paraId="0B02726C">
      <w:pPr>
        <w:keepNext w:val="0"/>
        <w:keepLines w:val="0"/>
        <w:widowControl w:val="0"/>
        <w:suppressLineNumbers w:val="0"/>
        <w:spacing w:before="0" w:beforeAutospacing="0" w:after="0" w:afterAutospacing="0"/>
        <w:ind w:left="0" w:right="0"/>
        <w:jc w:val="right"/>
        <w:outlineLvl w:val="9"/>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2396AEC6">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5F5BF10E">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72DA934A">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7928FD50">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1EDFC026">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3BAA7695">
      <w:pPr>
        <w:keepNext w:val="0"/>
        <w:keepLines w:val="0"/>
        <w:widowControl w:val="0"/>
        <w:suppressLineNumbers w:val="0"/>
        <w:spacing w:before="0" w:beforeAutospacing="0" w:after="0" w:afterAutospacing="0"/>
        <w:ind w:right="0" w:firstLine="3200" w:firstLineChars="1000"/>
        <w:jc w:val="both"/>
        <w:outlineLvl w:val="9"/>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5303C1D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10E46D7">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2252B45B">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2BD4CD4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597662F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0BDC105F">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4E575202">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C0A21B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DCF9276">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106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831E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97DE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3BB25E46">
      <w:pPr>
        <w:keepNext w:val="0"/>
        <w:keepLines w:val="0"/>
        <w:widowControl w:val="0"/>
        <w:suppressLineNumbers w:val="0"/>
        <w:spacing w:before="0" w:beforeAutospacing="0" w:after="0" w:afterAutospacing="0" w:line="720" w:lineRule="auto"/>
        <w:ind w:left="0" w:right="0"/>
        <w:jc w:val="center"/>
        <w:outlineLvl w:val="9"/>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3FE61CBE">
      <w:pPr>
        <w:pStyle w:val="64"/>
        <w:widowControl/>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4CA8BD00">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14FF98F">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CB13F61">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6D96805">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3CA52A26">
      <w:pPr>
        <w:spacing w:after="50" w:line="360" w:lineRule="auto"/>
        <w:ind w:right="-10" w:rightChars="0"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2BD379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诚信投标承诺书（格式见附件）；</w:t>
      </w:r>
    </w:p>
    <w:p w14:paraId="41F78BA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1EAEB70D">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2FB125D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）其他（如有）。</w:t>
      </w:r>
    </w:p>
    <w:p w14:paraId="3EF15653">
      <w:pPr>
        <w:keepNext w:val="0"/>
        <w:keepLines w:val="0"/>
        <w:widowControl w:val="0"/>
        <w:suppressLineNumbers w:val="0"/>
        <w:spacing w:before="0" w:beforeAutospacing="0" w:after="0" w:afterAutospacing="0" w:line="360" w:lineRule="auto"/>
        <w:ind w:left="0" w:right="0" w:firstLine="527" w:firstLineChars="250"/>
        <w:jc w:val="both"/>
        <w:outlineLvl w:val="9"/>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5E85ED5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5C71DE99">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BB0B9B0">
      <w:pPr>
        <w:spacing w:line="360" w:lineRule="auto"/>
        <w:jc w:val="center"/>
        <w:outlineLvl w:val="9"/>
        <w:rPr>
          <w:rFonts w:hint="eastAsia" w:asciiTheme="minorEastAsia" w:hAnsiTheme="minorEastAsia" w:eastAsiaTheme="minorEastAsia"/>
          <w:b/>
          <w:color w:val="auto"/>
          <w:sz w:val="24"/>
          <w:highlight w:val="none"/>
        </w:rPr>
      </w:pPr>
    </w:p>
    <w:p w14:paraId="4AB9CF14">
      <w:pPr>
        <w:spacing w:line="360" w:lineRule="auto"/>
        <w:jc w:val="center"/>
        <w:outlineLvl w:val="9"/>
        <w:rPr>
          <w:rFonts w:hint="eastAsia" w:asciiTheme="minorEastAsia" w:hAnsiTheme="minorEastAsia" w:eastAsiaTheme="minorEastAsia"/>
          <w:b/>
          <w:color w:val="auto"/>
          <w:sz w:val="24"/>
          <w:highlight w:val="none"/>
        </w:rPr>
      </w:pPr>
    </w:p>
    <w:p w14:paraId="42D01F39">
      <w:pPr>
        <w:spacing w:line="360" w:lineRule="auto"/>
        <w:jc w:val="center"/>
        <w:outlineLvl w:val="9"/>
        <w:rPr>
          <w:rFonts w:hint="eastAsia" w:asciiTheme="minorEastAsia" w:hAnsiTheme="minorEastAsia" w:eastAsiaTheme="minorEastAsia"/>
          <w:b/>
          <w:color w:val="auto"/>
          <w:sz w:val="24"/>
          <w:highlight w:val="none"/>
        </w:rPr>
      </w:pPr>
    </w:p>
    <w:p w14:paraId="45225977">
      <w:pPr>
        <w:spacing w:line="360" w:lineRule="auto"/>
        <w:jc w:val="center"/>
        <w:outlineLvl w:val="9"/>
        <w:rPr>
          <w:rFonts w:hint="eastAsia" w:asciiTheme="minorEastAsia" w:hAnsiTheme="minorEastAsia" w:eastAsiaTheme="minorEastAsia"/>
          <w:b/>
          <w:color w:val="auto"/>
          <w:sz w:val="24"/>
          <w:highlight w:val="none"/>
        </w:rPr>
      </w:pPr>
    </w:p>
    <w:p w14:paraId="5F162375">
      <w:pPr>
        <w:spacing w:line="360" w:lineRule="auto"/>
        <w:jc w:val="center"/>
        <w:outlineLvl w:val="9"/>
        <w:rPr>
          <w:rFonts w:hint="eastAsia" w:asciiTheme="minorEastAsia" w:hAnsiTheme="minorEastAsia" w:eastAsiaTheme="minorEastAsia"/>
          <w:b/>
          <w:color w:val="auto"/>
          <w:sz w:val="24"/>
          <w:highlight w:val="none"/>
        </w:rPr>
      </w:pPr>
    </w:p>
    <w:p w14:paraId="59B879BF">
      <w:pPr>
        <w:spacing w:line="360" w:lineRule="auto"/>
        <w:jc w:val="center"/>
        <w:outlineLvl w:val="9"/>
        <w:rPr>
          <w:rFonts w:hint="eastAsia" w:asciiTheme="minorEastAsia" w:hAnsiTheme="minorEastAsia" w:eastAsiaTheme="minorEastAsia"/>
          <w:b/>
          <w:color w:val="auto"/>
          <w:sz w:val="24"/>
          <w:highlight w:val="none"/>
        </w:rPr>
      </w:pPr>
    </w:p>
    <w:p w14:paraId="325C1FDC">
      <w:pPr>
        <w:spacing w:line="360" w:lineRule="auto"/>
        <w:jc w:val="center"/>
        <w:outlineLvl w:val="9"/>
        <w:rPr>
          <w:rFonts w:hint="eastAsia" w:asciiTheme="minorEastAsia" w:hAnsiTheme="minorEastAsia" w:eastAsiaTheme="minorEastAsia"/>
          <w:b/>
          <w:color w:val="auto"/>
          <w:sz w:val="24"/>
          <w:highlight w:val="none"/>
        </w:rPr>
      </w:pPr>
    </w:p>
    <w:p w14:paraId="0C221F7C">
      <w:pPr>
        <w:spacing w:line="360" w:lineRule="auto"/>
        <w:jc w:val="center"/>
        <w:outlineLvl w:val="9"/>
        <w:rPr>
          <w:rFonts w:hint="eastAsia" w:asciiTheme="minorEastAsia" w:hAnsiTheme="minorEastAsia" w:eastAsiaTheme="minorEastAsia"/>
          <w:b/>
          <w:color w:val="auto"/>
          <w:sz w:val="24"/>
          <w:highlight w:val="none"/>
        </w:rPr>
      </w:pPr>
    </w:p>
    <w:p w14:paraId="541EF9E4">
      <w:pPr>
        <w:spacing w:line="360" w:lineRule="auto"/>
        <w:jc w:val="center"/>
        <w:outlineLvl w:val="9"/>
        <w:rPr>
          <w:rFonts w:hint="eastAsia" w:asciiTheme="minorEastAsia" w:hAnsiTheme="minorEastAsia" w:eastAsiaTheme="minorEastAsia"/>
          <w:b/>
          <w:color w:val="auto"/>
          <w:sz w:val="24"/>
          <w:highlight w:val="none"/>
        </w:rPr>
      </w:pPr>
    </w:p>
    <w:p w14:paraId="048181F3">
      <w:pPr>
        <w:spacing w:line="360" w:lineRule="auto"/>
        <w:jc w:val="center"/>
        <w:outlineLvl w:val="9"/>
        <w:rPr>
          <w:rFonts w:hint="eastAsia" w:asciiTheme="minorEastAsia" w:hAnsiTheme="minorEastAsia" w:eastAsiaTheme="minorEastAsia"/>
          <w:b/>
          <w:color w:val="auto"/>
          <w:sz w:val="24"/>
          <w:highlight w:val="none"/>
        </w:rPr>
      </w:pPr>
    </w:p>
    <w:p w14:paraId="7466636F">
      <w:pPr>
        <w:spacing w:line="360" w:lineRule="auto"/>
        <w:jc w:val="center"/>
        <w:outlineLvl w:val="9"/>
        <w:rPr>
          <w:rFonts w:hint="eastAsia" w:asciiTheme="minorEastAsia" w:hAnsiTheme="minorEastAsia" w:eastAsiaTheme="minorEastAsia"/>
          <w:b/>
          <w:color w:val="auto"/>
          <w:sz w:val="24"/>
          <w:highlight w:val="none"/>
        </w:rPr>
      </w:pPr>
    </w:p>
    <w:p w14:paraId="778A4918">
      <w:pPr>
        <w:spacing w:line="360" w:lineRule="auto"/>
        <w:jc w:val="center"/>
        <w:outlineLvl w:val="9"/>
        <w:rPr>
          <w:rFonts w:hint="eastAsia" w:asciiTheme="minorEastAsia" w:hAnsiTheme="minorEastAsia" w:eastAsiaTheme="minorEastAsia"/>
          <w:b/>
          <w:color w:val="auto"/>
          <w:sz w:val="24"/>
          <w:highlight w:val="none"/>
        </w:rPr>
      </w:pPr>
    </w:p>
    <w:p w14:paraId="02D4B331">
      <w:pPr>
        <w:spacing w:line="360" w:lineRule="auto"/>
        <w:jc w:val="center"/>
        <w:outlineLvl w:val="9"/>
        <w:rPr>
          <w:rFonts w:hint="eastAsia" w:asciiTheme="minorEastAsia" w:hAnsiTheme="minorEastAsia" w:eastAsiaTheme="minorEastAsia"/>
          <w:b/>
          <w:color w:val="auto"/>
          <w:sz w:val="24"/>
          <w:highlight w:val="none"/>
        </w:rPr>
      </w:pPr>
    </w:p>
    <w:p w14:paraId="494CE88E">
      <w:pPr>
        <w:spacing w:line="360" w:lineRule="auto"/>
        <w:jc w:val="center"/>
        <w:outlineLvl w:val="9"/>
        <w:rPr>
          <w:rFonts w:hint="eastAsia" w:asciiTheme="minorEastAsia" w:hAnsiTheme="minorEastAsia" w:eastAsiaTheme="minorEastAsia"/>
          <w:b/>
          <w:color w:val="auto"/>
          <w:sz w:val="24"/>
          <w:highlight w:val="none"/>
        </w:rPr>
      </w:pPr>
    </w:p>
    <w:p w14:paraId="6831ABD2">
      <w:pPr>
        <w:spacing w:line="360" w:lineRule="auto"/>
        <w:jc w:val="center"/>
        <w:outlineLvl w:val="9"/>
        <w:rPr>
          <w:rFonts w:hint="eastAsia" w:asciiTheme="minorEastAsia" w:hAnsiTheme="minorEastAsia" w:eastAsiaTheme="minorEastAsia"/>
          <w:b/>
          <w:color w:val="auto"/>
          <w:sz w:val="24"/>
          <w:highlight w:val="none"/>
        </w:rPr>
      </w:pPr>
    </w:p>
    <w:p w14:paraId="5F3171AD">
      <w:pPr>
        <w:pStyle w:val="30"/>
        <w:outlineLvl w:val="9"/>
        <w:rPr>
          <w:rFonts w:hint="eastAsia" w:asciiTheme="minorEastAsia" w:hAnsiTheme="minorEastAsia" w:eastAsiaTheme="minorEastAsia"/>
          <w:b/>
          <w:color w:val="auto"/>
          <w:sz w:val="24"/>
          <w:highlight w:val="none"/>
        </w:rPr>
      </w:pPr>
    </w:p>
    <w:p w14:paraId="3756FA55">
      <w:pPr>
        <w:pStyle w:val="30"/>
        <w:outlineLvl w:val="9"/>
        <w:rPr>
          <w:rFonts w:hint="eastAsia" w:asciiTheme="minorEastAsia" w:hAnsiTheme="minorEastAsia" w:eastAsiaTheme="minorEastAsia"/>
          <w:b/>
          <w:color w:val="auto"/>
          <w:sz w:val="24"/>
          <w:highlight w:val="none"/>
        </w:rPr>
      </w:pPr>
    </w:p>
    <w:p w14:paraId="34F822D8">
      <w:pPr>
        <w:spacing w:line="360" w:lineRule="auto"/>
        <w:jc w:val="center"/>
        <w:outlineLvl w:val="9"/>
        <w:rPr>
          <w:rFonts w:hint="eastAsia" w:asciiTheme="minorEastAsia" w:hAnsiTheme="minorEastAsia" w:eastAsiaTheme="minorEastAsia"/>
          <w:b/>
          <w:color w:val="auto"/>
          <w:sz w:val="24"/>
          <w:highlight w:val="none"/>
        </w:rPr>
      </w:pPr>
    </w:p>
    <w:p w14:paraId="05D1079F">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F1E0A4C">
      <w:pPr>
        <w:pStyle w:val="12"/>
        <w:spacing w:line="360" w:lineRule="auto"/>
        <w:outlineLvl w:val="9"/>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7DCD8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3B430F5C">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B10960">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0C17042">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FC594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FA2008">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24ABBCEF">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B7BD11F">
      <w:pPr>
        <w:widowControl/>
        <w:spacing w:line="360" w:lineRule="auto"/>
        <w:ind w:firstLine="480" w:firstLineChars="200"/>
        <w:jc w:val="left"/>
        <w:outlineLvl w:val="9"/>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8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28A3A">
            <w:pPr>
              <w:keepNext w:val="0"/>
              <w:keepLines w:val="0"/>
              <w:widowControl/>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4D7F34">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A15C735">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438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B887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8AF08D6">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5DF2B7C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r w14:paraId="62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D1386D">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796E8A4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20BBE072">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bl>
    <w:p w14:paraId="6DC9487E">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DEEE928">
      <w:pPr>
        <w:spacing w:line="360" w:lineRule="auto"/>
        <w:ind w:firstLine="4800" w:firstLineChars="2000"/>
        <w:outlineLvl w:val="9"/>
        <w:rPr>
          <w:rFonts w:ascii="宋体" w:hAnsi="宋体" w:eastAsia="宋体"/>
          <w:color w:val="auto"/>
          <w:sz w:val="24"/>
          <w:highlight w:val="none"/>
        </w:rPr>
      </w:pPr>
    </w:p>
    <w:p w14:paraId="31738637">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F0A7ED">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66EE90">
      <w:pPr>
        <w:spacing w:line="360" w:lineRule="auto"/>
        <w:ind w:firstLine="4800" w:firstLineChars="2000"/>
        <w:outlineLvl w:val="9"/>
        <w:rPr>
          <w:rFonts w:ascii="宋体" w:hAnsi="宋体" w:eastAsia="宋体"/>
          <w:color w:val="auto"/>
          <w:sz w:val="24"/>
          <w:szCs w:val="24"/>
          <w:highlight w:val="none"/>
          <w:u w:val="single"/>
        </w:rPr>
      </w:pPr>
    </w:p>
    <w:p w14:paraId="55DADE62">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489227CC">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2A0DA0EA">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7E308BF">
      <w:pPr>
        <w:spacing w:line="360" w:lineRule="auto"/>
        <w:jc w:val="center"/>
        <w:outlineLvl w:val="9"/>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0BD37C21">
      <w:pPr>
        <w:pStyle w:val="11"/>
        <w:snapToGrid w:val="0"/>
        <w:spacing w:line="360" w:lineRule="auto"/>
        <w:ind w:firstLine="480" w:firstLineChars="200"/>
        <w:jc w:val="left"/>
        <w:outlineLvl w:val="9"/>
        <w:rPr>
          <w:rFonts w:hAnsi="宋体" w:eastAsia="宋体"/>
          <w:color w:val="auto"/>
          <w:sz w:val="24"/>
          <w:szCs w:val="28"/>
          <w:highlight w:val="none"/>
        </w:rPr>
      </w:pPr>
    </w:p>
    <w:p w14:paraId="4B4DB150">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983428">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15EA87">
      <w:pPr>
        <w:spacing w:line="360" w:lineRule="auto"/>
        <w:ind w:firstLine="435"/>
        <w:outlineLvl w:val="9"/>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身份证明扫描件：</w:t>
      </w:r>
    </w:p>
    <w:p w14:paraId="53D30A98">
      <w:pPr>
        <w:spacing w:line="360" w:lineRule="auto"/>
        <w:ind w:firstLine="435"/>
        <w:outlineLvl w:val="9"/>
        <w:rPr>
          <w:rFonts w:asciiTheme="minorEastAsia" w:hAnsiTheme="minorEastAsia" w:eastAsiaTheme="minorEastAsia"/>
          <w:color w:val="auto"/>
          <w:sz w:val="24"/>
          <w:highlight w:val="none"/>
        </w:rPr>
      </w:pPr>
    </w:p>
    <w:p w14:paraId="624A42FB">
      <w:pPr>
        <w:spacing w:line="360" w:lineRule="auto"/>
        <w:ind w:firstLine="435"/>
        <w:outlineLvl w:val="9"/>
        <w:rPr>
          <w:rFonts w:asciiTheme="minorEastAsia" w:hAnsiTheme="minorEastAsia" w:eastAsiaTheme="minorEastAsia"/>
          <w:color w:val="auto"/>
          <w:sz w:val="24"/>
          <w:highlight w:val="none"/>
        </w:rPr>
      </w:pPr>
    </w:p>
    <w:p w14:paraId="55F88840">
      <w:pPr>
        <w:spacing w:line="360" w:lineRule="auto"/>
        <w:ind w:firstLine="435"/>
        <w:outlineLvl w:val="9"/>
        <w:rPr>
          <w:rFonts w:asciiTheme="minorEastAsia" w:hAnsiTheme="minorEastAsia" w:eastAsiaTheme="minorEastAsia"/>
          <w:color w:val="auto"/>
          <w:sz w:val="24"/>
          <w:highlight w:val="none"/>
        </w:rPr>
      </w:pPr>
    </w:p>
    <w:p w14:paraId="3A8FDCC3">
      <w:pPr>
        <w:spacing w:line="360" w:lineRule="auto"/>
        <w:ind w:firstLine="435"/>
        <w:outlineLvl w:val="9"/>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14F2B1">
      <w:pPr>
        <w:spacing w:line="360" w:lineRule="auto"/>
        <w:ind w:firstLine="435"/>
        <w:outlineLvl w:val="9"/>
        <w:rPr>
          <w:rFonts w:hAnsi="宋体" w:eastAsia="宋体"/>
          <w:color w:val="auto"/>
          <w:sz w:val="24"/>
          <w:szCs w:val="28"/>
          <w:highlight w:val="none"/>
          <w:lang w:val="zh-CN"/>
        </w:rPr>
      </w:pPr>
    </w:p>
    <w:p w14:paraId="0AAF3F94">
      <w:pPr>
        <w:spacing w:line="360" w:lineRule="auto"/>
        <w:ind w:firstLine="435"/>
        <w:outlineLvl w:val="9"/>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26CAFD">
      <w:pPr>
        <w:spacing w:line="360" w:lineRule="auto"/>
        <w:outlineLvl w:val="9"/>
        <w:rPr>
          <w:rFonts w:ascii="宋体" w:hAnsi="宋体" w:eastAsia="宋体"/>
          <w:color w:val="auto"/>
          <w:sz w:val="24"/>
          <w:szCs w:val="28"/>
          <w:highlight w:val="none"/>
        </w:rPr>
      </w:pPr>
    </w:p>
    <w:p w14:paraId="6B46048E">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29A1B6">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02DC185">
      <w:pPr>
        <w:spacing w:line="360" w:lineRule="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665F5A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1.本项目只允许有唯一的投标人授权代表，提供身份证明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08D64D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2.法定代表人参加投标的无需提供授权书，提供身份证明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B61E119">
      <w:pPr>
        <w:widowControl/>
        <w:jc w:val="left"/>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054BE2">
      <w:pPr>
        <w:spacing w:line="360" w:lineRule="auto"/>
        <w:jc w:val="center"/>
        <w:outlineLvl w:val="9"/>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73CE1BD">
      <w:pPr>
        <w:spacing w:line="500" w:lineRule="exac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65ACD1D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31FA4E0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A90ACEC">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B46CB0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5E7979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0AF8A1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7DDC1C8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3C2EC9B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69FE521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九</w:t>
      </w:r>
      <w:r>
        <w:rPr>
          <w:rFonts w:hint="eastAsia" w:ascii="宋体" w:hAnsi="宋体" w:eastAsia="宋体" w:cs="宋体"/>
          <w:color w:val="auto"/>
          <w:sz w:val="24"/>
          <w:szCs w:val="24"/>
          <w:highlight w:val="none"/>
          <w:lang w:bidi="ar"/>
        </w:rPr>
        <w:t>、保证中标之后，按照投标文件要求提供相关后续服务；</w:t>
      </w:r>
    </w:p>
    <w:p w14:paraId="5CA034E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091AD8D1">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w:t>
      </w:r>
      <w:r>
        <w:rPr>
          <w:rFonts w:hint="eastAsia" w:ascii="宋体" w:hAnsi="宋体" w:eastAsia="宋体" w:cs="宋体"/>
          <w:color w:val="auto"/>
          <w:sz w:val="24"/>
          <w:szCs w:val="24"/>
          <w:highlight w:val="none"/>
          <w:lang w:val="en-US" w:eastAsia="zh-CN" w:bidi="ar"/>
        </w:rPr>
        <w:t>一</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FC7B4D">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2132DB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4CD78C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69A060EF">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48B39275">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C065FFB">
      <w:pPr>
        <w:spacing w:line="560" w:lineRule="exact"/>
        <w:jc w:val="right"/>
        <w:outlineLvl w:val="9"/>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9CF2FC">
      <w:pPr>
        <w:spacing w:line="360" w:lineRule="auto"/>
        <w:jc w:val="cente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F225603">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969885E">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p>
    <w:p w14:paraId="3A1EE88C">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0DF7B85C">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DF8B2A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301094A2">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155E3705">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81A6ABB">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423E3495">
      <w:pPr>
        <w:keepNext w:val="0"/>
        <w:keepLines w:val="0"/>
        <w:widowControl w:val="0"/>
        <w:suppressLineNumbers w:val="0"/>
        <w:spacing w:before="0" w:beforeAutospacing="0" w:after="0" w:afterAutospacing="0"/>
        <w:ind w:right="0" w:firstLine="3080" w:firstLineChars="1100"/>
        <w:jc w:val="both"/>
        <w:outlineLvl w:val="9"/>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35A2C990">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41581A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336C96">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3F14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145B6AE">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7B8AA2EB">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41B39CE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A137F9C">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8E870C3">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6A1C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7BB1E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C84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3762492">
      <w:pPr>
        <w:keepNext w:val="0"/>
        <w:keepLines w:val="0"/>
        <w:widowControl w:val="0"/>
        <w:suppressLineNumbers w:val="0"/>
        <w:spacing w:before="0" w:beforeAutospacing="0" w:after="0" w:afterAutospacing="0"/>
        <w:ind w:left="0" w:right="0" w:firstLine="1400" w:firstLineChars="5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7BBDE4B">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B03856C">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lang w:val="en-US" w:eastAsia="zh-CN" w:bidi="ar"/>
        </w:rPr>
      </w:pPr>
    </w:p>
    <w:p w14:paraId="696576F8">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69417EC">
      <w:pPr>
        <w:keepNext w:val="0"/>
        <w:keepLines w:val="0"/>
        <w:widowControl w:val="0"/>
        <w:suppressLineNumbers w:val="0"/>
        <w:spacing w:before="0" w:beforeAutospacing="0" w:after="0" w:afterAutospacing="0" w:line="400" w:lineRule="exact"/>
        <w:ind w:left="0" w:right="0" w:firstLine="3744" w:firstLineChars="1036"/>
        <w:jc w:val="both"/>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03C926E3">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6436897A">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（2）诚信履约承诺函（格式见附件）</w:t>
      </w:r>
    </w:p>
    <w:p w14:paraId="070039ED">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（3）招标文件技术标评审中要求提交的其他材料；</w:t>
      </w:r>
    </w:p>
    <w:p w14:paraId="27B513F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（4）招标文件中要求的技术标评审及技术标评分的支持资料；</w:t>
      </w:r>
    </w:p>
    <w:p w14:paraId="061BEBCC">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（5）投标人认为需要提供的其他技术证明材料；</w:t>
      </w:r>
    </w:p>
    <w:p w14:paraId="6830177C">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223EAE12">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51A494">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B8E9A92">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E4A3FD7">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C437EB3">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0C0C55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4581176">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3D316D6">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0FA55B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3F534585">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p>
    <w:p w14:paraId="17396C21">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2097ED2">
      <w:pPr>
        <w:pStyle w:val="19"/>
        <w:keepNext w:val="0"/>
        <w:keepLines w:val="0"/>
        <w:widowControl w:val="0"/>
        <w:suppressLineNumbers w:val="0"/>
        <w:spacing w:before="0" w:beforeAutospacing="1" w:after="120" w:afterAutospacing="0" w:line="360" w:lineRule="auto"/>
        <w:ind w:left="420" w:leftChars="200" w:right="0" w:firstLine="482" w:firstLineChars="20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一、投标响应表</w:t>
      </w:r>
    </w:p>
    <w:p w14:paraId="7AB221C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4FD3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8B6376E">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F87BC1D">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344D685">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A8D55C9">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5BEB10A">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AE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67B80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D71E8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666EF72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65FB227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1F5DA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C1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DED94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EEEB91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3C5FAAA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DB2B28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6F244E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DC03A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3D8834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91772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9102A82">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060A3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B5E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942C87">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leftChars="0" w:right="0" w:rightChars="0"/>
              <w:outlineLvl w:val="9"/>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4</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0AEF5C82">
            <w:pPr>
              <w:pStyle w:val="33"/>
              <w:keepNext w:val="0"/>
              <w:keepLines w:val="0"/>
              <w:widowControl w:val="0"/>
              <w:suppressLineNumbers w:val="0"/>
              <w:spacing w:before="0" w:beforeAutospacing="0" w:after="0" w:afterAutospacing="0" w:line="360" w:lineRule="auto"/>
              <w:ind w:left="0" w:leftChars="0" w:right="0" w:rightChars="0"/>
              <w:outlineLvl w:val="9"/>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免费服务（质保）期限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2AC70C8">
            <w:pPr>
              <w:pStyle w:val="33"/>
              <w:keepNext w:val="0"/>
              <w:keepLines w:val="0"/>
              <w:widowControl w:val="0"/>
              <w:suppressLineNumbers w:val="0"/>
              <w:spacing w:before="0" w:beforeAutospacing="0" w:after="0" w:afterAutospacing="0" w:line="360" w:lineRule="auto"/>
              <w:ind w:left="0" w:leftChars="0" w:right="0" w:rightChars="0"/>
              <w:jc w:val="left"/>
              <w:outlineLvl w:val="9"/>
              <w:rPr>
                <w:rFonts w:hint="eastAsia" w:ascii="宋体" w:hAnsi="宋体" w:eastAsia="宋体" w:cs="@仿宋_GB2312"/>
                <w:b/>
                <w:bCs w:val="0"/>
                <w:color w:val="auto"/>
                <w:kern w:val="0"/>
                <w:sz w:val="24"/>
                <w:szCs w:val="28"/>
                <w:highlight w:val="none"/>
                <w:lang w:val="en-US" w:eastAsia="zh-CN" w:bidi="ar-SA"/>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2AD348A">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8736C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70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1417A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72D2A7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5ED189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CDBB64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0FF7C8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B773772">
      <w:pPr>
        <w:spacing w:line="360" w:lineRule="auto"/>
        <w:ind w:firstLine="435"/>
        <w:outlineLvl w:val="9"/>
        <w:rPr>
          <w:rFonts w:asciiTheme="minorEastAsia" w:hAnsiTheme="minorEastAsia" w:eastAsiaTheme="minorEastAsia"/>
          <w:bCs/>
          <w:i/>
          <w:iCs/>
          <w:color w:val="auto"/>
          <w:sz w:val="24"/>
          <w:szCs w:val="24"/>
          <w:highlight w:val="none"/>
        </w:rPr>
      </w:pPr>
      <w:r>
        <w:rPr>
          <w:rFonts w:hint="eastAsia" w:asciiTheme="minorEastAsia" w:hAnsiTheme="minorEastAsia" w:eastAsiaTheme="minorEastAsia"/>
          <w:b/>
          <w:color w:val="auto"/>
          <w:sz w:val="24"/>
          <w:szCs w:val="24"/>
          <w:highlight w:val="none"/>
          <w:lang w:val="en-US" w:eastAsia="zh-CN"/>
        </w:rPr>
        <w:t>2.</w:t>
      </w:r>
      <w:r>
        <w:rPr>
          <w:rFonts w:hint="eastAsia" w:asciiTheme="minorEastAsia" w:hAnsiTheme="minorEastAsia" w:eastAsiaTheme="minorEastAsia"/>
          <w:b/>
          <w:color w:val="auto"/>
          <w:sz w:val="24"/>
          <w:szCs w:val="24"/>
          <w:highlight w:val="none"/>
        </w:rPr>
        <w:t>技术响应表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EC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E3A3726">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序号</w:t>
            </w:r>
          </w:p>
        </w:tc>
        <w:tc>
          <w:tcPr>
            <w:tcW w:w="915" w:type="pct"/>
            <w:vAlign w:val="center"/>
          </w:tcPr>
          <w:p w14:paraId="04E44E6A">
            <w:pPr>
              <w:pStyle w:val="11"/>
              <w:keepNext w:val="0"/>
              <w:keepLines w:val="0"/>
              <w:suppressLineNumbers w:val="0"/>
              <w:spacing w:before="0" w:beforeAutospacing="0" w:after="0" w:afterAutospacing="0"/>
              <w:ind w:left="0" w:right="0"/>
              <w:jc w:val="center"/>
              <w:outlineLvl w:val="9"/>
              <w:rPr>
                <w:rFonts w:hint="eastAsia" w:cs="Wingdings" w:asciiTheme="minorEastAsia" w:hAnsiTheme="minorEastAsia" w:eastAsiaTheme="minorEastAsia"/>
                <w:b/>
                <w:color w:val="auto"/>
                <w:sz w:val="24"/>
                <w:szCs w:val="24"/>
                <w:highlight w:val="none"/>
                <w:lang w:eastAsia="zh-CN"/>
              </w:rPr>
            </w:pPr>
            <w:r>
              <w:rPr>
                <w:rFonts w:hint="eastAsia" w:asciiTheme="minorEastAsia" w:hAnsiTheme="minorEastAsia"/>
                <w:b/>
                <w:bCs/>
                <w:color w:val="auto"/>
                <w:sz w:val="24"/>
                <w:szCs w:val="24"/>
                <w:highlight w:val="none"/>
                <w:lang w:val="en-US" w:eastAsia="zh-CN"/>
              </w:rPr>
              <w:t>品目名称</w:t>
            </w:r>
          </w:p>
        </w:tc>
        <w:tc>
          <w:tcPr>
            <w:tcW w:w="1680" w:type="pct"/>
            <w:vAlign w:val="center"/>
          </w:tcPr>
          <w:p w14:paraId="73C6144C">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eastAsiaTheme="minorEastAsia"/>
                <w:b/>
                <w:color w:val="auto"/>
                <w:sz w:val="24"/>
                <w:szCs w:val="24"/>
                <w:highlight w:val="none"/>
                <w:lang w:val="en-US" w:eastAsia="zh-CN"/>
              </w:rPr>
            </w:pPr>
            <w:r>
              <w:rPr>
                <w:rFonts w:hint="eastAsia" w:cs="Wingdings" w:asciiTheme="minorEastAsia" w:hAnsiTheme="minorEastAsia"/>
                <w:b/>
                <w:color w:val="auto"/>
                <w:sz w:val="24"/>
                <w:szCs w:val="24"/>
                <w:highlight w:val="none"/>
              </w:rPr>
              <w:t>招标文件规定的</w:t>
            </w:r>
            <w:r>
              <w:rPr>
                <w:rFonts w:hint="eastAsia" w:cs="Wingdings" w:asciiTheme="minorEastAsia" w:hAnsiTheme="minorEastAsia"/>
                <w:b/>
                <w:color w:val="auto"/>
                <w:sz w:val="24"/>
                <w:szCs w:val="24"/>
                <w:highlight w:val="none"/>
                <w:lang w:val="en-US" w:eastAsia="zh-CN"/>
              </w:rPr>
              <w:t>系统具体技术参数</w:t>
            </w:r>
          </w:p>
        </w:tc>
        <w:tc>
          <w:tcPr>
            <w:tcW w:w="1456" w:type="pct"/>
            <w:vAlign w:val="center"/>
          </w:tcPr>
          <w:p w14:paraId="03561F2D">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所投产品的</w:t>
            </w:r>
            <w:r>
              <w:rPr>
                <w:rFonts w:hint="eastAsia" w:cs="Wingdings" w:asciiTheme="minorEastAsia" w:hAnsiTheme="minorEastAsia"/>
                <w:b/>
                <w:color w:val="auto"/>
                <w:sz w:val="24"/>
                <w:szCs w:val="24"/>
                <w:highlight w:val="none"/>
                <w:lang w:val="en-US" w:eastAsia="zh-CN"/>
              </w:rPr>
              <w:t>系统具体技术参数</w:t>
            </w:r>
          </w:p>
        </w:tc>
        <w:tc>
          <w:tcPr>
            <w:tcW w:w="502" w:type="pct"/>
            <w:vAlign w:val="center"/>
          </w:tcPr>
          <w:p w14:paraId="08199A2A">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偏离说明</w:t>
            </w:r>
          </w:p>
        </w:tc>
      </w:tr>
      <w:tr w14:paraId="1302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BE9151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915" w:type="pct"/>
            <w:vAlign w:val="center"/>
          </w:tcPr>
          <w:p w14:paraId="5F9C9E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1709CCD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5CD700C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28215D1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518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C3DAEC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915" w:type="pct"/>
            <w:vAlign w:val="center"/>
          </w:tcPr>
          <w:p w14:paraId="0B4D20E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68846D9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0CD7BC3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2914D8C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5AC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C5EA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915" w:type="pct"/>
            <w:vAlign w:val="center"/>
          </w:tcPr>
          <w:p w14:paraId="04E6EE4D">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68DF04B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46FAAD38">
            <w:pPr>
              <w:pStyle w:val="41"/>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4A126C1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4F52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1237B3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915" w:type="pct"/>
            <w:vAlign w:val="center"/>
          </w:tcPr>
          <w:p w14:paraId="623C30DD">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4C69658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34A79C16">
            <w:pPr>
              <w:pStyle w:val="41"/>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530721D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162F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F67A8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915" w:type="pct"/>
            <w:vAlign w:val="center"/>
          </w:tcPr>
          <w:p w14:paraId="79ACB56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0AF35C0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7DCEDC8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0D8BA03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bl>
    <w:p w14:paraId="69AFA07D">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C224F08">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DFB807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01954167">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8A3A5FA">
      <w:pPr>
        <w:pStyle w:val="19"/>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683CC0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二、诚信履约承诺函</w:t>
      </w:r>
    </w:p>
    <w:p w14:paraId="2DA8B7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16B23B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BD44E7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BE1715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3322108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4372DCF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0289FF79">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58272D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263F73DB">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6B312E">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736687C">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186E364E">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04B04279">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6613BB7">
      <w:pPr>
        <w:keepNext w:val="0"/>
        <w:keepLines w:val="0"/>
        <w:widowControl/>
        <w:suppressLineNumbers w:val="0"/>
        <w:spacing w:before="0" w:beforeAutospacing="0" w:after="0" w:afterAutospacing="0"/>
        <w:ind w:left="0" w:right="0"/>
        <w:jc w:val="left"/>
        <w:outlineLvl w:val="9"/>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FD6669A">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p>
    <w:p w14:paraId="7561351D">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301BB08">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193691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0958208F">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D91AECE">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5E12ED4">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F339E8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46BD55B7">
      <w:pPr>
        <w:keepNext w:val="0"/>
        <w:keepLines w:val="0"/>
        <w:widowControl w:val="0"/>
        <w:suppressLineNumbers w:val="0"/>
        <w:spacing w:before="0" w:beforeAutospacing="0" w:after="0" w:afterAutospacing="0"/>
        <w:ind w:left="0" w:right="0" w:firstLine="3360" w:firstLineChars="1200"/>
        <w:jc w:val="both"/>
        <w:outlineLvl w:val="9"/>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6F3A029E">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7321EE4">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328F5D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1CB94F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6B88557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59BC234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2883CB1C">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p>
    <w:p w14:paraId="091D52D1">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9D01A9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24C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499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74CF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45EE84E4">
      <w:pPr>
        <w:spacing w:line="360" w:lineRule="auto"/>
        <w:jc w:val="center"/>
        <w:outlineLvl w:val="9"/>
        <w:rPr>
          <w:rFonts w:hint="eastAsia" w:asciiTheme="minorEastAsia" w:hAnsiTheme="minorEastAsia" w:eastAsiaTheme="minorEastAsia"/>
          <w:b/>
          <w:color w:val="auto"/>
          <w:sz w:val="24"/>
          <w:highlight w:val="none"/>
        </w:rPr>
      </w:pPr>
    </w:p>
    <w:p w14:paraId="4572299B">
      <w:pPr>
        <w:spacing w:line="360" w:lineRule="auto"/>
        <w:jc w:val="center"/>
        <w:outlineLvl w:val="9"/>
        <w:rPr>
          <w:rFonts w:hint="eastAsia" w:asciiTheme="minorEastAsia" w:hAnsiTheme="minorEastAsia" w:eastAsiaTheme="minorEastAsia"/>
          <w:b/>
          <w:color w:val="auto"/>
          <w:sz w:val="24"/>
          <w:highlight w:val="none"/>
        </w:rPr>
      </w:pPr>
    </w:p>
    <w:p w14:paraId="3F8D54C4">
      <w:pPr>
        <w:spacing w:line="360" w:lineRule="auto"/>
        <w:jc w:val="center"/>
        <w:outlineLvl w:val="9"/>
        <w:rPr>
          <w:rFonts w:hint="eastAsia" w:asciiTheme="minorEastAsia" w:hAnsiTheme="minorEastAsia" w:eastAsiaTheme="minorEastAsia"/>
          <w:b/>
          <w:color w:val="auto"/>
          <w:sz w:val="24"/>
          <w:highlight w:val="none"/>
        </w:rPr>
      </w:pPr>
    </w:p>
    <w:p w14:paraId="100D1C27">
      <w:pPr>
        <w:spacing w:line="400" w:lineRule="exact"/>
        <w:jc w:val="center"/>
        <w:outlineLvl w:val="9"/>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39EA3CB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0D5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7295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3BA71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（3）投标分项报价表（格式见附件）；</w:t>
      </w:r>
    </w:p>
    <w:p w14:paraId="0153E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（4）招标文件商务评审中要求提供的其他相关资料；</w:t>
      </w:r>
    </w:p>
    <w:p w14:paraId="068B9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（5）投标人认为需要提供的其他材料；</w:t>
      </w:r>
    </w:p>
    <w:p w14:paraId="198CB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45BCB2C3">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25CB2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61D606EA">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456096F">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5C4B12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AEB3887">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9D70E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C9E3BD8">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75E4F7C">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C24951E">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05369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8D5DA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E513D13">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21676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224405B">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42753C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28932B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50F95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C7BB4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E0C49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801A9D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CD1F40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F7129D1">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8E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89C675A">
            <w:pPr>
              <w:keepNext w:val="0"/>
              <w:keepLines w:val="0"/>
              <w:widowControl/>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541FEB60">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Cs/>
                <w:color w:val="auto"/>
                <w:sz w:val="24"/>
                <w:szCs w:val="20"/>
                <w:highlight w:val="none"/>
                <w:u w:val="single"/>
              </w:rPr>
            </w:pPr>
          </w:p>
        </w:tc>
      </w:tr>
      <w:tr w14:paraId="3CF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82DA0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EE1284C">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p>
        </w:tc>
      </w:tr>
      <w:tr w14:paraId="5B1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60CFD4">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16A3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237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1800C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F376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0C932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outlineLvl w:val="9"/>
              <w:rPr>
                <w:rFonts w:hint="eastAsia"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5E3E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B54408B">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A8A71D1">
            <w:pPr>
              <w:keepNext w:val="0"/>
              <w:keepLines w:val="0"/>
              <w:suppressLineNumbers w:val="0"/>
              <w:spacing w:before="0" w:beforeAutospacing="0" w:after="0" w:afterAutospacing="0" w:line="360" w:lineRule="auto"/>
              <w:ind w:left="0" w:right="0"/>
              <w:jc w:val="left"/>
              <w:outlineLvl w:val="9"/>
              <w:rPr>
                <w:rFonts w:hint="default" w:asciiTheme="minorEastAsia" w:hAnsiTheme="minorEastAsia" w:eastAsiaTheme="minorEastAsia"/>
                <w:color w:val="auto"/>
                <w:sz w:val="24"/>
                <w:szCs w:val="28"/>
                <w:highlight w:val="none"/>
              </w:rPr>
            </w:pPr>
          </w:p>
        </w:tc>
      </w:tr>
    </w:tbl>
    <w:p w14:paraId="3C847DE3">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CEE368">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21D08F6">
      <w:pPr>
        <w:spacing w:line="360" w:lineRule="auto"/>
        <w:outlineLvl w:val="9"/>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97003DA">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1EDC0B6">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7E65C67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73B11374">
      <w:pPr>
        <w:spacing w:line="360" w:lineRule="auto"/>
        <w:jc w:val="center"/>
        <w:outlineLvl w:val="9"/>
        <w:rPr>
          <w:rFonts w:asciiTheme="minorEastAsia" w:hAnsiTheme="minorEastAsia" w:eastAsiaTheme="minorEastAsia"/>
          <w:b/>
          <w:color w:val="auto"/>
          <w:sz w:val="24"/>
          <w:highlight w:val="none"/>
        </w:rPr>
      </w:pPr>
      <w:bookmarkStart w:id="24" w:name="_Toc6441"/>
      <w:bookmarkStart w:id="25" w:name="_Toc6120"/>
      <w:r>
        <w:rPr>
          <w:rFonts w:hint="eastAsia" w:asciiTheme="minorEastAsia" w:hAnsiTheme="minorEastAsia" w:eastAsiaTheme="minorEastAsia"/>
          <w:b/>
          <w:color w:val="auto"/>
          <w:sz w:val="24"/>
          <w:highlight w:val="none"/>
        </w:rPr>
        <w:t>二、投标函</w:t>
      </w:r>
      <w:bookmarkEnd w:id="24"/>
      <w:bookmarkEnd w:id="25"/>
    </w:p>
    <w:p w14:paraId="0958B83B">
      <w:pPr>
        <w:pStyle w:val="12"/>
        <w:spacing w:line="360" w:lineRule="auto"/>
        <w:outlineLvl w:val="9"/>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2D35B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3723C7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691305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6C63F9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3DFB68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79B5566">
      <w:pPr>
        <w:spacing w:line="360" w:lineRule="auto"/>
        <w:ind w:firstLine="4800" w:firstLineChars="2000"/>
        <w:outlineLvl w:val="9"/>
        <w:rPr>
          <w:rFonts w:ascii="宋体" w:hAnsi="宋体" w:eastAsia="宋体"/>
          <w:color w:val="auto"/>
          <w:sz w:val="24"/>
          <w:highlight w:val="none"/>
        </w:rPr>
      </w:pPr>
    </w:p>
    <w:p w14:paraId="4E360B49">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331F81">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32CF7E2">
      <w:pPr>
        <w:widowControl/>
        <w:jc w:val="left"/>
        <w:outlineLvl w:val="9"/>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B28B71E">
      <w:pPr>
        <w:spacing w:line="360" w:lineRule="auto"/>
        <w:jc w:val="center"/>
        <w:outlineLvl w:val="9"/>
        <w:rPr>
          <w:rFonts w:hint="eastAsia" w:asciiTheme="minorEastAsia" w:hAnsiTheme="minorEastAsia" w:eastAsiaTheme="minorEastAsia"/>
          <w:b/>
          <w:color w:val="auto"/>
          <w:sz w:val="24"/>
          <w:highlight w:val="none"/>
        </w:rPr>
      </w:pPr>
      <w:bookmarkStart w:id="26" w:name="_Toc32226"/>
      <w:bookmarkStart w:id="27" w:name="_Toc31027"/>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、投标分项报价表</w:t>
      </w:r>
      <w:bookmarkEnd w:id="26"/>
      <w:bookmarkEnd w:id="27"/>
    </w:p>
    <w:tbl>
      <w:tblPr>
        <w:tblStyle w:val="24"/>
        <w:tblW w:w="6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47"/>
        <w:gridCol w:w="1434"/>
        <w:gridCol w:w="1498"/>
        <w:gridCol w:w="813"/>
        <w:gridCol w:w="888"/>
        <w:gridCol w:w="1148"/>
        <w:gridCol w:w="1214"/>
        <w:gridCol w:w="1305"/>
      </w:tblGrid>
      <w:tr w14:paraId="22E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5" w:type="pct"/>
            <w:vAlign w:val="center"/>
          </w:tcPr>
          <w:p w14:paraId="4F5AEFE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序号</w:t>
            </w:r>
          </w:p>
        </w:tc>
        <w:tc>
          <w:tcPr>
            <w:tcW w:w="635" w:type="pct"/>
            <w:vAlign w:val="center"/>
          </w:tcPr>
          <w:p w14:paraId="58B6FC4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品目</w:t>
            </w:r>
            <w:r>
              <w:rPr>
                <w:rFonts w:hint="eastAsia" w:ascii="宋体" w:hAnsi="宋体" w:eastAsia="宋体" w:cs="宋体"/>
                <w:b/>
                <w:bCs/>
                <w:color w:val="auto"/>
                <w:kern w:val="0"/>
                <w:sz w:val="24"/>
                <w:szCs w:val="24"/>
                <w:highlight w:val="none"/>
                <w:lang w:bidi="ar"/>
              </w:rPr>
              <w:t>名称</w:t>
            </w:r>
          </w:p>
        </w:tc>
        <w:tc>
          <w:tcPr>
            <w:tcW w:w="677" w:type="pct"/>
            <w:vAlign w:val="center"/>
          </w:tcPr>
          <w:p w14:paraId="26352D54">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lang w:val="en-US" w:eastAsia="zh-CN"/>
              </w:rPr>
            </w:pPr>
            <w:r>
              <w:rPr>
                <w:rFonts w:hint="eastAsia" w:ascii="宋体" w:hAnsi="宋体" w:eastAsia="宋体" w:cs="宋体"/>
                <w:b/>
                <w:bCs/>
                <w:color w:val="auto"/>
                <w:kern w:val="0"/>
                <w:sz w:val="24"/>
                <w:szCs w:val="24"/>
                <w:highlight w:val="none"/>
                <w:lang w:val="en-US" w:eastAsia="zh-CN" w:bidi="ar"/>
              </w:rPr>
              <w:t>品牌、型号</w:t>
            </w:r>
          </w:p>
        </w:tc>
        <w:tc>
          <w:tcPr>
            <w:tcW w:w="707" w:type="pct"/>
            <w:shd w:val="clear" w:color="auto" w:fill="auto"/>
            <w:vAlign w:val="center"/>
          </w:tcPr>
          <w:p w14:paraId="72D3B91F">
            <w:pPr>
              <w:keepNext w:val="0"/>
              <w:keepLines w:val="0"/>
              <w:widowControl/>
              <w:suppressLineNumbers w:val="0"/>
              <w:spacing w:before="0" w:beforeAutospacing="0" w:after="0" w:afterAutospacing="0"/>
              <w:ind w:left="0" w:right="0"/>
              <w:jc w:val="left"/>
              <w:outlineLvl w:val="9"/>
              <w:rPr>
                <w:rFonts w:hint="eastAsia" w:cs="@仿宋_GB2312" w:asciiTheme="minorEastAsia" w:hAnsiTheme="minorEastAsia" w:eastAsiaTheme="minorEastAsia"/>
                <w:b/>
                <w:color w:val="auto"/>
                <w:kern w:val="2"/>
                <w:sz w:val="24"/>
                <w:szCs w:val="20"/>
                <w:highlight w:val="none"/>
                <w:lang w:val="en-US" w:eastAsia="zh-CN" w:bidi="ar-SA"/>
              </w:rPr>
            </w:pPr>
            <w:r>
              <w:rPr>
                <w:rFonts w:hint="eastAsia" w:ascii="宋体" w:hAnsi="宋体" w:eastAsia="宋体" w:cs="宋体"/>
                <w:b/>
                <w:bCs/>
                <w:color w:val="auto"/>
                <w:kern w:val="0"/>
                <w:sz w:val="24"/>
                <w:szCs w:val="24"/>
                <w:highlight w:val="none"/>
                <w:lang w:val="en-US" w:eastAsia="zh-CN" w:bidi="ar"/>
              </w:rPr>
              <w:t>原产地及生产厂商</w:t>
            </w:r>
          </w:p>
        </w:tc>
        <w:tc>
          <w:tcPr>
            <w:tcW w:w="384" w:type="pct"/>
            <w:vAlign w:val="center"/>
          </w:tcPr>
          <w:p w14:paraId="721975CE">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单位</w:t>
            </w:r>
          </w:p>
        </w:tc>
        <w:tc>
          <w:tcPr>
            <w:tcW w:w="419" w:type="pct"/>
            <w:vAlign w:val="center"/>
          </w:tcPr>
          <w:p w14:paraId="3D6DDEF0">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数量</w:t>
            </w:r>
          </w:p>
        </w:tc>
        <w:tc>
          <w:tcPr>
            <w:tcW w:w="542" w:type="pct"/>
            <w:vAlign w:val="center"/>
          </w:tcPr>
          <w:p w14:paraId="0D32D22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单价</w:t>
            </w:r>
          </w:p>
        </w:tc>
        <w:tc>
          <w:tcPr>
            <w:tcW w:w="573" w:type="pct"/>
            <w:vAlign w:val="center"/>
          </w:tcPr>
          <w:p w14:paraId="578BEDE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小计金额（元）</w:t>
            </w:r>
          </w:p>
        </w:tc>
        <w:tc>
          <w:tcPr>
            <w:tcW w:w="612" w:type="pct"/>
            <w:vAlign w:val="center"/>
          </w:tcPr>
          <w:p w14:paraId="171343D0">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备注</w:t>
            </w:r>
          </w:p>
        </w:tc>
      </w:tr>
      <w:tr w14:paraId="4B6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tcBorders>
              <w:bottom w:val="single" w:color="auto" w:sz="4" w:space="0"/>
            </w:tcBorders>
            <w:vAlign w:val="center"/>
          </w:tcPr>
          <w:p w14:paraId="0ADFF715">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FFE28ED">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4F5F947E">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771917C">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7AF1AC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74FFB54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3BF93D9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BB9523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40D2A1A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5544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25FCE107">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3F6C692D">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7E586E91">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6CD6C227">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0960DAF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94067A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4307B31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727053E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66F8D0E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1F4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6C9EAA29">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D5F4C12">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0EE67A43">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02A6A666">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704BC3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4ED5B51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056CBD4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5D082CB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5824D90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760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2FEAEA74">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444E59E">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261A0F7">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8939B8A">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7706619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D7ECBD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6CF030E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3C5166E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2FEF5B6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4FE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63D5FE48">
            <w:pPr>
              <w:pStyle w:val="8"/>
              <w:keepNext w:val="0"/>
              <w:keepLines w:val="0"/>
              <w:numPr>
                <w:ilvl w:val="0"/>
                <w:numId w:val="2"/>
              </w:numPr>
              <w:suppressLineNumbers w:val="0"/>
              <w:spacing w:before="0" w:beforeAutospacing="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13308CC1">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6714C066">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29DF1C41">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5216337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24BAC0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3294767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9A94BC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0D27D1A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3F9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7BE226AD">
            <w:pPr>
              <w:pStyle w:val="8"/>
              <w:keepNext w:val="0"/>
              <w:keepLines w:val="0"/>
              <w:numPr>
                <w:ilvl w:val="0"/>
                <w:numId w:val="2"/>
              </w:numPr>
              <w:suppressLineNumbers w:val="0"/>
              <w:spacing w:before="0" w:beforeAutospacing="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1422EE92">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21A8C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4E90E56">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956A45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2E97FF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6F48734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B2D26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7998293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79BA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47C10D5F">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0428A889">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AF2351">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728F5B6A">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9B6493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6CE90F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1FA5C3E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36CD5BF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231EC69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0805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45" w:type="pct"/>
            <w:vAlign w:val="center"/>
          </w:tcPr>
          <w:p w14:paraId="6E69A7E3">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4F39FED1">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1EE893">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D81C810">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6B9DFCA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00DB8C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78DF119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0C5C60D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539CAFE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lang w:val="en-US" w:eastAsia="zh-CN"/>
              </w:rPr>
            </w:pPr>
          </w:p>
        </w:tc>
      </w:tr>
      <w:tr w14:paraId="279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81" w:type="pct"/>
            <w:gridSpan w:val="2"/>
            <w:vAlign w:val="center"/>
          </w:tcPr>
          <w:p w14:paraId="34CC2E8B">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kern w:val="0"/>
                <w:sz w:val="24"/>
                <w:szCs w:val="24"/>
                <w:highlight w:val="none"/>
                <w:lang w:bidi="ar"/>
              </w:rPr>
            </w:pPr>
            <w:r>
              <w:rPr>
                <w:rFonts w:hint="eastAsia" w:asciiTheme="minorEastAsia" w:hAnsiTheme="minorEastAsia" w:eastAsiaTheme="minorEastAsia"/>
                <w:b/>
                <w:color w:val="auto"/>
                <w:sz w:val="24"/>
                <w:szCs w:val="20"/>
                <w:highlight w:val="none"/>
              </w:rPr>
              <w:t>合计金额（元）</w:t>
            </w:r>
          </w:p>
        </w:tc>
        <w:tc>
          <w:tcPr>
            <w:tcW w:w="3918" w:type="pct"/>
            <w:gridSpan w:val="7"/>
            <w:vAlign w:val="center"/>
          </w:tcPr>
          <w:p w14:paraId="74901F6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bl>
    <w:p w14:paraId="41C15442">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581D51">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072217F">
      <w:pPr>
        <w:adjustRightInd w:val="0"/>
        <w:snapToGrid w:val="0"/>
        <w:spacing w:line="360" w:lineRule="auto"/>
        <w:outlineLvl w:val="9"/>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A82A28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570E418D">
      <w:pPr>
        <w:pStyle w:val="8"/>
        <w:outlineLvl w:val="9"/>
        <w:rPr>
          <w:rFonts w:hint="eastAsia" w:asciiTheme="minorEastAsia" w:hAnsiTheme="minorEastAsia" w:eastAsiaTheme="minorEastAsia"/>
          <w:color w:val="auto"/>
          <w:sz w:val="24"/>
          <w:highlight w:val="none"/>
        </w:rPr>
      </w:pPr>
    </w:p>
    <w:p w14:paraId="6FC173B7">
      <w:pP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E84228E">
      <w:pPr>
        <w:spacing w:line="360" w:lineRule="auto"/>
        <w:jc w:val="center"/>
        <w:outlineLvl w:val="0"/>
        <w:rPr>
          <w:rFonts w:ascii="宋体" w:hAnsi="宋体" w:eastAsia="宋体"/>
          <w:b/>
          <w:bCs/>
          <w:color w:val="auto"/>
          <w:sz w:val="28"/>
          <w:highlight w:val="none"/>
        </w:rPr>
      </w:pPr>
      <w:bookmarkStart w:id="28" w:name="_Toc2808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8"/>
    </w:p>
    <w:p w14:paraId="7F8169ED">
      <w:pPr>
        <w:spacing w:line="360" w:lineRule="auto"/>
        <w:jc w:val="center"/>
        <w:outlineLvl w:val="9"/>
        <w:rPr>
          <w:rFonts w:ascii="仿宋" w:hAnsi="仿宋" w:eastAsia="仿宋" w:cs="仿宋"/>
          <w:b/>
          <w:bCs/>
          <w:color w:val="auto"/>
          <w:sz w:val="32"/>
          <w:szCs w:val="44"/>
          <w:highlight w:val="none"/>
        </w:rPr>
      </w:pPr>
      <w:bookmarkStart w:id="29" w:name="_Toc27159"/>
      <w:bookmarkStart w:id="30" w:name="_Toc27489"/>
      <w:r>
        <w:rPr>
          <w:rFonts w:hint="eastAsia" w:ascii="仿宋" w:hAnsi="仿宋" w:eastAsia="仿宋" w:cs="仿宋"/>
          <w:b/>
          <w:bCs/>
          <w:color w:val="auto"/>
          <w:sz w:val="32"/>
          <w:szCs w:val="44"/>
          <w:highlight w:val="none"/>
        </w:rPr>
        <w:t>询问函范本</w:t>
      </w:r>
      <w:bookmarkEnd w:id="29"/>
      <w:bookmarkEnd w:id="30"/>
    </w:p>
    <w:p w14:paraId="58655B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B941AA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71FAF5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1" w:name="_Toc13899"/>
      <w:r>
        <w:rPr>
          <w:rFonts w:hint="eastAsia" w:cs="仿宋" w:asciiTheme="minorEastAsia" w:hAnsiTheme="minorEastAsia" w:eastAsiaTheme="minorEastAsia"/>
          <w:color w:val="auto"/>
          <w:sz w:val="24"/>
          <w:szCs w:val="24"/>
          <w:highlight w:val="none"/>
        </w:rPr>
        <w:t>一、(事项一)</w:t>
      </w:r>
      <w:bookmarkEnd w:id="31"/>
    </w:p>
    <w:p w14:paraId="5B452DC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E4D104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476AE7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DC05DB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2" w:name="_Toc3352"/>
      <w:r>
        <w:rPr>
          <w:rFonts w:hint="eastAsia" w:cs="仿宋" w:asciiTheme="minorEastAsia" w:hAnsiTheme="minorEastAsia" w:eastAsiaTheme="minorEastAsia"/>
          <w:color w:val="auto"/>
          <w:sz w:val="24"/>
          <w:szCs w:val="24"/>
          <w:highlight w:val="none"/>
        </w:rPr>
        <w:t>二、(事项二)</w:t>
      </w:r>
      <w:bookmarkEnd w:id="32"/>
    </w:p>
    <w:p w14:paraId="30F0191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47D06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10F0D34">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75A769B">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948820F">
      <w:pPr>
        <w:tabs>
          <w:tab w:val="left" w:pos="630"/>
        </w:tabs>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13478D">
      <w:pPr>
        <w:outlineLvl w:val="9"/>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D1F8CE9">
      <w:pPr>
        <w:jc w:val="center"/>
        <w:outlineLvl w:val="9"/>
        <w:rPr>
          <w:rFonts w:ascii="仿宋" w:hAnsi="仿宋" w:eastAsia="仿宋" w:cs="仿宋"/>
          <w:b/>
          <w:bCs/>
          <w:color w:val="auto"/>
          <w:sz w:val="32"/>
          <w:szCs w:val="44"/>
          <w:highlight w:val="none"/>
        </w:rPr>
      </w:pPr>
      <w:bookmarkStart w:id="33" w:name="_Toc1575"/>
      <w:bookmarkStart w:id="34" w:name="_Toc3245"/>
      <w:r>
        <w:rPr>
          <w:rFonts w:hint="eastAsia" w:ascii="仿宋" w:hAnsi="仿宋" w:eastAsia="仿宋" w:cs="仿宋"/>
          <w:b/>
          <w:bCs/>
          <w:color w:val="auto"/>
          <w:sz w:val="32"/>
          <w:szCs w:val="44"/>
          <w:highlight w:val="none"/>
        </w:rPr>
        <w:t>质疑函范本</w:t>
      </w:r>
      <w:bookmarkEnd w:id="33"/>
      <w:bookmarkEnd w:id="34"/>
    </w:p>
    <w:p w14:paraId="1EE353E0">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35" w:name="_Toc21381"/>
      <w:r>
        <w:rPr>
          <w:rFonts w:hint="eastAsia" w:cs="仿宋" w:asciiTheme="minorEastAsia" w:hAnsiTheme="minorEastAsia" w:eastAsiaTheme="minorEastAsia"/>
          <w:b/>
          <w:bCs/>
          <w:color w:val="auto"/>
          <w:sz w:val="24"/>
          <w:szCs w:val="24"/>
          <w:highlight w:val="none"/>
        </w:rPr>
        <w:t>一、质疑供应商基本信息</w:t>
      </w:r>
      <w:bookmarkEnd w:id="35"/>
    </w:p>
    <w:p w14:paraId="4B865F0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6EC301">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82536FB">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95F085">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FCA1CAD">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B49B30F">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E78AE2A">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6" w:name="_Toc28415"/>
      <w:r>
        <w:rPr>
          <w:rFonts w:hint="eastAsia" w:cs="仿宋" w:asciiTheme="minorEastAsia" w:hAnsiTheme="minorEastAsia" w:eastAsiaTheme="minorEastAsia"/>
          <w:b/>
          <w:bCs/>
          <w:color w:val="auto"/>
          <w:sz w:val="24"/>
          <w:szCs w:val="24"/>
          <w:highlight w:val="none"/>
        </w:rPr>
        <w:t>二、质疑项目基本情况</w:t>
      </w:r>
      <w:bookmarkEnd w:id="36"/>
    </w:p>
    <w:p w14:paraId="337F6320">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8BC059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789B012">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3908EF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46507B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7" w:name="_Toc19014"/>
      <w:r>
        <w:rPr>
          <w:rFonts w:hint="eastAsia" w:cs="仿宋" w:asciiTheme="minorEastAsia" w:hAnsiTheme="minorEastAsia" w:eastAsiaTheme="minorEastAsia"/>
          <w:b/>
          <w:bCs/>
          <w:color w:val="auto"/>
          <w:sz w:val="24"/>
          <w:szCs w:val="24"/>
          <w:highlight w:val="none"/>
        </w:rPr>
        <w:t>三、质疑事项具体内容</w:t>
      </w:r>
      <w:bookmarkEnd w:id="37"/>
    </w:p>
    <w:p w14:paraId="43366FF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43A17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607DAFA">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657BB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227F27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7DC84F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F8A62B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E3CE31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8" w:name="_Toc17919"/>
      <w:r>
        <w:rPr>
          <w:rFonts w:hint="eastAsia" w:cs="仿宋" w:asciiTheme="minorEastAsia" w:hAnsiTheme="minorEastAsia" w:eastAsiaTheme="minorEastAsia"/>
          <w:b/>
          <w:bCs/>
          <w:color w:val="auto"/>
          <w:sz w:val="24"/>
          <w:szCs w:val="24"/>
          <w:highlight w:val="none"/>
        </w:rPr>
        <w:t>四、与质疑事项相关的质疑请求</w:t>
      </w:r>
      <w:bookmarkEnd w:id="38"/>
    </w:p>
    <w:p w14:paraId="688BBC49">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C0E001D">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84F980E">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3435D36">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4DD6C8F">
      <w:pPr>
        <w:outlineLvl w:val="9"/>
        <w:rPr>
          <w:rFonts w:asciiTheme="minorEastAsia" w:hAnsiTheme="minorEastAsia" w:eastAsiaTheme="minorEastAsia"/>
          <w:b/>
          <w:color w:val="auto"/>
          <w:sz w:val="28"/>
          <w:szCs w:val="32"/>
          <w:highlight w:val="none"/>
        </w:rPr>
      </w:pPr>
      <w:bookmarkStart w:id="39" w:name="_Toc26836"/>
      <w:bookmarkStart w:id="40" w:name="_Toc9754"/>
      <w:r>
        <w:rPr>
          <w:rFonts w:hint="eastAsia" w:asciiTheme="minorEastAsia" w:hAnsiTheme="minorEastAsia" w:eastAsiaTheme="minorEastAsia"/>
          <w:b/>
          <w:color w:val="auto"/>
          <w:sz w:val="28"/>
          <w:szCs w:val="32"/>
          <w:highlight w:val="none"/>
        </w:rPr>
        <w:t>质疑函制作说明：</w:t>
      </w:r>
      <w:bookmarkEnd w:id="39"/>
      <w:bookmarkEnd w:id="40"/>
    </w:p>
    <w:p w14:paraId="2E51C3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661CBE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B1431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8C9DF7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994577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45AEE2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A263C27">
      <w:pPr>
        <w:pStyle w:val="30"/>
        <w:outlineLvl w:val="9"/>
        <w:rPr>
          <w:rFonts w:hint="eastAsia" w:asciiTheme="minorEastAsia" w:hAnsiTheme="minorEastAsia" w:eastAsiaTheme="minorEastAsia"/>
          <w:color w:val="auto"/>
          <w:sz w:val="24"/>
          <w:highlight w:val="none"/>
        </w:rPr>
      </w:pPr>
    </w:p>
    <w:p w14:paraId="557D4A9C">
      <w:pPr>
        <w:pStyle w:val="30"/>
        <w:outlineLvl w:val="9"/>
        <w:rPr>
          <w:rFonts w:hint="eastAsia" w:asciiTheme="minorEastAsia" w:hAnsiTheme="minorEastAsia" w:eastAsiaTheme="minorEastAsia"/>
          <w:color w:val="auto"/>
          <w:sz w:val="24"/>
          <w:highlight w:val="none"/>
        </w:rPr>
      </w:pPr>
    </w:p>
    <w:p w14:paraId="2DFA62A9">
      <w:pPr>
        <w:pStyle w:val="30"/>
        <w:outlineLvl w:val="9"/>
        <w:rPr>
          <w:rFonts w:hint="eastAsia" w:asciiTheme="minorEastAsia" w:hAnsiTheme="minorEastAsia" w:eastAsiaTheme="minorEastAsia"/>
          <w:color w:val="auto"/>
          <w:sz w:val="24"/>
          <w:highlight w:val="none"/>
        </w:rPr>
      </w:pPr>
    </w:p>
    <w:p w14:paraId="6270981A">
      <w:pPr>
        <w:pStyle w:val="30"/>
        <w:outlineLvl w:val="9"/>
        <w:rPr>
          <w:rFonts w:hint="eastAsia" w:asciiTheme="minorEastAsia" w:hAnsiTheme="minorEastAsia" w:eastAsiaTheme="minorEastAsia"/>
          <w:color w:val="auto"/>
          <w:sz w:val="24"/>
          <w:highlight w:val="none"/>
        </w:rPr>
      </w:pPr>
    </w:p>
    <w:p w14:paraId="6DF0730F">
      <w:pPr>
        <w:pStyle w:val="30"/>
        <w:outlineLvl w:val="9"/>
        <w:rPr>
          <w:rFonts w:hint="eastAsia" w:asciiTheme="minorEastAsia" w:hAnsiTheme="minorEastAsia" w:eastAsiaTheme="minorEastAsia"/>
          <w:color w:val="auto"/>
          <w:sz w:val="24"/>
          <w:highlight w:val="none"/>
        </w:rPr>
      </w:pPr>
    </w:p>
    <w:p w14:paraId="40CF7844">
      <w:pPr>
        <w:pStyle w:val="30"/>
        <w:outlineLvl w:val="9"/>
        <w:rPr>
          <w:rFonts w:hint="eastAsia" w:asciiTheme="minorEastAsia" w:hAnsiTheme="minorEastAsia" w:eastAsiaTheme="minorEastAsia"/>
          <w:color w:val="auto"/>
          <w:sz w:val="24"/>
          <w:highlight w:val="none"/>
        </w:rPr>
      </w:pPr>
    </w:p>
    <w:p w14:paraId="42EBE1CC">
      <w:pPr>
        <w:pStyle w:val="30"/>
        <w:outlineLvl w:val="9"/>
        <w:rPr>
          <w:rFonts w:hint="eastAsia" w:asciiTheme="minorEastAsia" w:hAnsiTheme="minorEastAsia" w:eastAsiaTheme="minorEastAsia"/>
          <w:color w:val="auto"/>
          <w:sz w:val="24"/>
          <w:highlight w:val="none"/>
        </w:rPr>
      </w:pPr>
    </w:p>
    <w:p w14:paraId="71994D0C">
      <w:pPr>
        <w:pStyle w:val="30"/>
        <w:outlineLvl w:val="9"/>
        <w:rPr>
          <w:rFonts w:hint="eastAsia" w:asciiTheme="minorEastAsia" w:hAnsiTheme="minorEastAsia" w:eastAsiaTheme="minorEastAsia"/>
          <w:color w:val="auto"/>
          <w:sz w:val="24"/>
          <w:highlight w:val="none"/>
        </w:rPr>
      </w:pPr>
    </w:p>
    <w:p w14:paraId="13B39510">
      <w:pPr>
        <w:pStyle w:val="30"/>
        <w:outlineLvl w:val="9"/>
        <w:rPr>
          <w:rFonts w:hint="eastAsia" w:asciiTheme="minorEastAsia" w:hAnsiTheme="minorEastAsia" w:eastAsiaTheme="minorEastAsia"/>
          <w:color w:val="auto"/>
          <w:sz w:val="24"/>
          <w:highlight w:val="none"/>
        </w:rPr>
      </w:pPr>
    </w:p>
    <w:p w14:paraId="1ED8CAE8">
      <w:pPr>
        <w:pStyle w:val="30"/>
        <w:outlineLvl w:val="9"/>
        <w:rPr>
          <w:rFonts w:hint="eastAsia" w:asciiTheme="minorEastAsia" w:hAnsiTheme="minorEastAsia" w:eastAsiaTheme="minorEastAsia"/>
          <w:color w:val="auto"/>
          <w:sz w:val="24"/>
          <w:highlight w:val="none"/>
        </w:rPr>
      </w:pPr>
    </w:p>
    <w:p w14:paraId="711535E8">
      <w:pPr>
        <w:pStyle w:val="30"/>
        <w:outlineLvl w:val="9"/>
        <w:rPr>
          <w:rFonts w:hint="eastAsia" w:asciiTheme="minorEastAsia" w:hAnsiTheme="minorEastAsia" w:eastAsiaTheme="minorEastAsia"/>
          <w:color w:val="auto"/>
          <w:sz w:val="24"/>
          <w:highlight w:val="none"/>
        </w:rPr>
      </w:pPr>
    </w:p>
    <w:p w14:paraId="5C86D56C">
      <w:pPr>
        <w:pStyle w:val="30"/>
        <w:outlineLvl w:val="9"/>
        <w:rPr>
          <w:rFonts w:hint="eastAsia" w:asciiTheme="minorEastAsia" w:hAnsiTheme="minorEastAsia" w:eastAsiaTheme="minorEastAsia"/>
          <w:color w:val="auto"/>
          <w:sz w:val="24"/>
          <w:highlight w:val="none"/>
        </w:rPr>
      </w:pPr>
    </w:p>
    <w:p w14:paraId="0D22C792">
      <w:pPr>
        <w:pStyle w:val="30"/>
        <w:outlineLvl w:val="9"/>
        <w:rPr>
          <w:rFonts w:hint="eastAsia" w:asciiTheme="minorEastAsia" w:hAnsiTheme="minorEastAsia" w:eastAsiaTheme="minorEastAsia"/>
          <w:color w:val="auto"/>
          <w:sz w:val="24"/>
          <w:highlight w:val="none"/>
        </w:rPr>
      </w:pPr>
    </w:p>
    <w:p w14:paraId="62D383E5">
      <w:pPr>
        <w:pStyle w:val="30"/>
        <w:outlineLvl w:val="9"/>
        <w:rPr>
          <w:rFonts w:hint="eastAsia" w:asciiTheme="minorEastAsia" w:hAnsiTheme="minorEastAsia" w:eastAsiaTheme="minorEastAsia"/>
          <w:color w:val="auto"/>
          <w:sz w:val="24"/>
          <w:highlight w:val="none"/>
        </w:rPr>
      </w:pPr>
    </w:p>
    <w:p w14:paraId="518FB6D9">
      <w:pPr>
        <w:pStyle w:val="30"/>
        <w:outlineLvl w:val="9"/>
        <w:rPr>
          <w:rFonts w:hint="eastAsia" w:asciiTheme="minorEastAsia" w:hAnsiTheme="minorEastAsia" w:eastAsiaTheme="minorEastAsia"/>
          <w:color w:val="auto"/>
          <w:sz w:val="24"/>
          <w:highlight w:val="none"/>
        </w:rPr>
      </w:pPr>
    </w:p>
    <w:p w14:paraId="7717A97C">
      <w:pPr>
        <w:pStyle w:val="30"/>
        <w:outlineLvl w:val="9"/>
        <w:rPr>
          <w:rFonts w:hint="eastAsia" w:asciiTheme="minorEastAsia" w:hAnsiTheme="minorEastAsia" w:eastAsiaTheme="minorEastAsia"/>
          <w:color w:val="auto"/>
          <w:sz w:val="24"/>
          <w:highlight w:val="none"/>
        </w:rPr>
      </w:pPr>
    </w:p>
    <w:p w14:paraId="69A40851">
      <w:pPr>
        <w:pStyle w:val="30"/>
        <w:outlineLvl w:val="9"/>
        <w:rPr>
          <w:rFonts w:hint="eastAsia" w:asciiTheme="minorEastAsia" w:hAnsiTheme="minorEastAsia" w:eastAsiaTheme="minorEastAsia"/>
          <w:color w:val="auto"/>
          <w:sz w:val="24"/>
          <w:highlight w:val="none"/>
        </w:rPr>
      </w:pPr>
    </w:p>
    <w:p w14:paraId="2EB66615">
      <w:pPr>
        <w:pStyle w:val="30"/>
        <w:outlineLvl w:val="9"/>
        <w:rPr>
          <w:rFonts w:hint="eastAsia" w:asciiTheme="minorEastAsia" w:hAnsiTheme="minorEastAsia" w:eastAsiaTheme="minorEastAsia"/>
          <w:color w:val="auto"/>
          <w:sz w:val="24"/>
          <w:highlight w:val="none"/>
        </w:rPr>
      </w:pPr>
    </w:p>
    <w:p w14:paraId="6357C3C1">
      <w:pPr>
        <w:pStyle w:val="30"/>
        <w:outlineLvl w:val="9"/>
        <w:rPr>
          <w:rFonts w:hint="eastAsia" w:asciiTheme="minorEastAsia" w:hAnsiTheme="minorEastAsia" w:eastAsiaTheme="minorEastAsia"/>
          <w:color w:val="auto"/>
          <w:sz w:val="24"/>
          <w:highlight w:val="none"/>
        </w:rPr>
      </w:pPr>
    </w:p>
    <w:p w14:paraId="5E4D6B89">
      <w:pPr>
        <w:pStyle w:val="30"/>
        <w:outlineLvl w:val="9"/>
        <w:rPr>
          <w:rFonts w:hint="eastAsia" w:asciiTheme="minorEastAsia" w:hAnsiTheme="minorEastAsia" w:eastAsiaTheme="minorEastAsia"/>
          <w:color w:val="auto"/>
          <w:sz w:val="24"/>
          <w:highlight w:val="none"/>
        </w:rPr>
      </w:pPr>
    </w:p>
    <w:p w14:paraId="2D0AD1CF">
      <w:pPr>
        <w:pStyle w:val="30"/>
        <w:outlineLvl w:val="9"/>
        <w:rPr>
          <w:rFonts w:hint="eastAsia" w:asciiTheme="minorEastAsia" w:hAnsiTheme="minorEastAsia" w:eastAsiaTheme="minorEastAsia"/>
          <w:color w:val="auto"/>
          <w:sz w:val="24"/>
          <w:highlight w:val="none"/>
        </w:rPr>
      </w:pPr>
    </w:p>
    <w:p w14:paraId="788AB848">
      <w:pPr>
        <w:pStyle w:val="30"/>
        <w:outlineLvl w:val="9"/>
        <w:rPr>
          <w:rFonts w:hint="eastAsia" w:asciiTheme="minorEastAsia" w:hAnsiTheme="minorEastAsia" w:eastAsiaTheme="minorEastAsia"/>
          <w:color w:val="auto"/>
          <w:sz w:val="24"/>
          <w:highlight w:val="none"/>
        </w:rPr>
      </w:pPr>
    </w:p>
    <w:p w14:paraId="354E6580">
      <w:pPr>
        <w:pStyle w:val="30"/>
        <w:outlineLvl w:val="9"/>
        <w:rPr>
          <w:rFonts w:hint="eastAsia" w:asciiTheme="minorEastAsia" w:hAnsiTheme="minorEastAsia" w:eastAsiaTheme="minorEastAsia"/>
          <w:color w:val="auto"/>
          <w:sz w:val="24"/>
          <w:highlight w:val="none"/>
        </w:rPr>
      </w:pPr>
    </w:p>
    <w:p w14:paraId="2454B005">
      <w:pPr>
        <w:pStyle w:val="30"/>
        <w:outlineLvl w:val="9"/>
        <w:rPr>
          <w:rFonts w:hint="eastAsia" w:asciiTheme="minorEastAsia" w:hAnsiTheme="minorEastAsia" w:eastAsiaTheme="minorEastAsia"/>
          <w:color w:val="auto"/>
          <w:sz w:val="24"/>
          <w:highlight w:val="none"/>
        </w:rPr>
      </w:pPr>
    </w:p>
    <w:p w14:paraId="208F147B">
      <w:pPr>
        <w:pStyle w:val="30"/>
        <w:outlineLvl w:val="9"/>
        <w:rPr>
          <w:rFonts w:hint="eastAsia" w:asciiTheme="minorEastAsia" w:hAnsiTheme="minorEastAsia" w:eastAsiaTheme="minorEastAsia"/>
          <w:color w:val="auto"/>
          <w:sz w:val="24"/>
          <w:highlight w:val="none"/>
        </w:rPr>
      </w:pPr>
    </w:p>
    <w:p w14:paraId="1DBF91CC">
      <w:pPr>
        <w:pStyle w:val="30"/>
        <w:outlineLvl w:val="9"/>
        <w:rPr>
          <w:rFonts w:hint="eastAsia" w:asciiTheme="minorEastAsia" w:hAnsiTheme="minorEastAsia" w:eastAsiaTheme="minorEastAsia"/>
          <w:color w:val="auto"/>
          <w:sz w:val="24"/>
          <w:highlight w:val="none"/>
        </w:rPr>
      </w:pPr>
    </w:p>
    <w:p w14:paraId="62DD69BC">
      <w:pPr>
        <w:pStyle w:val="30"/>
        <w:outlineLvl w:val="9"/>
        <w:rPr>
          <w:rFonts w:hint="eastAsia" w:asciiTheme="minorEastAsia" w:hAnsiTheme="minorEastAsia" w:eastAsiaTheme="minorEastAsia"/>
          <w:color w:val="auto"/>
          <w:sz w:val="24"/>
          <w:highlight w:val="none"/>
        </w:rPr>
      </w:pPr>
    </w:p>
    <w:p w14:paraId="565A07DD">
      <w:pPr>
        <w:keepNext/>
        <w:keepLines/>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附件1 关于联合惩戒失信行为加强信用查询管理的通知</w:t>
      </w:r>
    </w:p>
    <w:p w14:paraId="3958F7FA">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2B54358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1B7D748B">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76C7A8EC">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41" w:name="OLE_LINK103"/>
      <w:bookmarkStart w:id="42" w:name="OLE_LINK93"/>
      <w:bookmarkStart w:id="43" w:name="OLE_LINK92"/>
      <w:bookmarkStart w:id="44" w:name="OLE_LINK91"/>
      <w:r>
        <w:rPr>
          <w:rFonts w:hint="eastAsia" w:ascii="宋体" w:hAnsi="宋体" w:eastAsia="宋体" w:cs="宋体"/>
          <w:color w:val="auto"/>
          <w:sz w:val="24"/>
          <w:szCs w:val="24"/>
          <w:highlight w:val="none"/>
        </w:rPr>
        <w:t>投标人、法定代表人及其项目经理(建造师)</w:t>
      </w:r>
      <w:bookmarkEnd w:id="41"/>
      <w:bookmarkEnd w:id="42"/>
      <w:bookmarkEnd w:id="43"/>
      <w:bookmarkEnd w:id="44"/>
      <w:r>
        <w:rPr>
          <w:rFonts w:hint="eastAsia" w:ascii="宋体" w:hAnsi="宋体" w:eastAsia="宋体" w:cs="宋体"/>
          <w:color w:val="auto"/>
          <w:sz w:val="24"/>
          <w:szCs w:val="24"/>
          <w:highlight w:val="none"/>
        </w:rPr>
        <w:t>以下失信行为：</w:t>
      </w:r>
    </w:p>
    <w:p w14:paraId="31BCEE3D">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2F40D36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45" w:name="OLE_LINK118"/>
      <w:bookmarkStart w:id="46" w:name="OLE_LINK117"/>
      <w:bookmarkStart w:id="47" w:name="OLE_LINK116"/>
      <w:bookmarkStart w:id="48" w:name="OLE_LINK115"/>
      <w:r>
        <w:rPr>
          <w:rFonts w:hint="eastAsia" w:ascii="宋体" w:hAnsi="宋体" w:eastAsia="宋体" w:cs="宋体"/>
          <w:color w:val="auto"/>
          <w:sz w:val="24"/>
          <w:szCs w:val="24"/>
          <w:highlight w:val="none"/>
        </w:rPr>
        <w:t>“重大税收违法失信主体”</w:t>
      </w:r>
      <w:bookmarkEnd w:id="45"/>
      <w:bookmarkEnd w:id="46"/>
      <w:bookmarkEnd w:id="47"/>
      <w:bookmarkEnd w:id="48"/>
      <w:r>
        <w:rPr>
          <w:rFonts w:hint="eastAsia" w:ascii="宋体" w:hAnsi="宋体" w:eastAsia="宋体" w:cs="宋体"/>
          <w:color w:val="auto"/>
          <w:sz w:val="24"/>
          <w:szCs w:val="24"/>
          <w:highlight w:val="none"/>
        </w:rPr>
        <w:t>的；</w:t>
      </w:r>
    </w:p>
    <w:p w14:paraId="2335204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w:t>
      </w:r>
      <w:bookmarkStart w:id="49" w:name="OLE_LINK85"/>
      <w:bookmarkStart w:id="50" w:name="OLE_LINK84"/>
      <w:r>
        <w:rPr>
          <w:rFonts w:hint="eastAsia" w:ascii="宋体" w:hAnsi="宋体" w:eastAsia="宋体" w:cs="宋体"/>
          <w:color w:val="auto"/>
          <w:sz w:val="24"/>
          <w:szCs w:val="24"/>
          <w:highlight w:val="none"/>
        </w:rPr>
        <w:t>农民工工资失信联合惩戒对象</w:t>
      </w:r>
      <w:bookmarkEnd w:id="49"/>
      <w:bookmarkEnd w:id="50"/>
      <w:r>
        <w:rPr>
          <w:rFonts w:hint="eastAsia" w:ascii="宋体" w:hAnsi="宋体" w:eastAsia="宋体" w:cs="宋体"/>
          <w:color w:val="auto"/>
          <w:sz w:val="24"/>
          <w:szCs w:val="24"/>
          <w:highlight w:val="none"/>
        </w:rPr>
        <w:t>名单”的；</w:t>
      </w:r>
    </w:p>
    <w:p w14:paraId="0ECD5408">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0AE96815">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p w14:paraId="1441194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1" w:name="OLE_LINK130"/>
      <w:r>
        <w:rPr>
          <w:rFonts w:hint="eastAsia" w:ascii="宋体" w:hAnsi="宋体" w:eastAsia="宋体" w:cs="宋体"/>
          <w:color w:val="auto"/>
          <w:sz w:val="24"/>
          <w:szCs w:val="24"/>
          <w:highlight w:val="none"/>
        </w:rPr>
        <w:t>国家企业信用信息公示系统网站</w:t>
      </w:r>
      <w:bookmarkEnd w:id="5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52" w:name="OLE_LINK90"/>
      <w:bookmarkStart w:id="53" w:name="OLE_LINK89"/>
      <w:r>
        <w:rPr>
          <w:rStyle w:val="28"/>
          <w:rFonts w:hint="eastAsia" w:ascii="宋体" w:hAnsi="宋体" w:eastAsia="宋体" w:cs="宋体"/>
          <w:color w:val="auto"/>
          <w:sz w:val="24"/>
          <w:szCs w:val="24"/>
          <w:highlight w:val="none"/>
        </w:rPr>
        <w:t>www.gsxt.gov.cn</w:t>
      </w:r>
      <w:bookmarkEnd w:id="52"/>
      <w:bookmarkEnd w:id="53"/>
      <w:r>
        <w:rPr>
          <w:rStyle w:val="2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4B99B76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bookmarkStart w:id="54" w:name="OLE_LINK121"/>
      <w:bookmarkStart w:id="55" w:name="OLE_LINK122"/>
      <w:bookmarkStart w:id="56" w:name="OLE_LINK120"/>
      <w:r>
        <w:rPr>
          <w:rFonts w:hint="eastAsia" w:ascii="宋体" w:hAnsi="宋体" w:eastAsia="宋体" w:cs="宋体"/>
          <w:color w:val="auto"/>
          <w:sz w:val="24"/>
          <w:szCs w:val="24"/>
          <w:highlight w:val="none"/>
        </w:rPr>
        <w:t>①被列入“经营异常名录”或者“严重违法失信名单”的。</w:t>
      </w:r>
      <w:bookmarkEnd w:id="54"/>
      <w:bookmarkEnd w:id="55"/>
      <w:bookmarkEnd w:id="56"/>
    </w:p>
    <w:p w14:paraId="7ECF042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3DCBD57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307D0A91">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3A3C2AAA">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2C694BF1">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57" w:name="OLE_LINK108"/>
      <w:bookmarkStart w:id="58" w:name="OLE_LINK107"/>
      <w:r>
        <w:rPr>
          <w:rFonts w:hint="eastAsia" w:ascii="宋体" w:hAnsi="宋体" w:eastAsia="宋体" w:cs="宋体"/>
          <w:color w:val="auto"/>
          <w:sz w:val="24"/>
          <w:szCs w:val="24"/>
          <w:highlight w:val="none"/>
        </w:rPr>
        <w:t>县级及以上有关行政主管部门限制投标资格且在限制期限内的</w:t>
      </w:r>
      <w:bookmarkEnd w:id="57"/>
      <w:bookmarkEnd w:id="58"/>
      <w:r>
        <w:rPr>
          <w:rFonts w:hint="eastAsia" w:ascii="宋体" w:hAnsi="宋体" w:eastAsia="宋体" w:cs="宋体"/>
          <w:color w:val="auto"/>
          <w:sz w:val="24"/>
          <w:szCs w:val="24"/>
          <w:highlight w:val="none"/>
        </w:rPr>
        <w:t>；</w:t>
      </w:r>
    </w:p>
    <w:p w14:paraId="395DF6AB">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2D6AA2D">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6088F3A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28"/>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25A59EA">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211C347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214418F8">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③被列入“拖欠农民工工资失信联合惩戒对象名单”的；</w:t>
      </w:r>
    </w:p>
    <w:p w14:paraId="4582E61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53BFB62C">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p w14:paraId="19D8D106">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6AAC454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59" w:name="OLE_LINK100"/>
      <w:bookmarkStart w:id="60" w:name="OLE_LINK101"/>
      <w:bookmarkStart w:id="61" w:name="OLE_LINK102"/>
      <w:r>
        <w:rPr>
          <w:rFonts w:hint="eastAsia" w:ascii="宋体" w:hAnsi="宋体" w:eastAsia="宋体" w:cs="宋体"/>
          <w:color w:val="auto"/>
          <w:sz w:val="24"/>
          <w:szCs w:val="24"/>
          <w:highlight w:val="none"/>
        </w:rPr>
        <w:t>被列入“经营异常名录”或者“严重违法失信名单”的</w:t>
      </w:r>
      <w:bookmarkEnd w:id="59"/>
      <w:bookmarkEnd w:id="60"/>
      <w:bookmarkEnd w:id="61"/>
      <w:r>
        <w:rPr>
          <w:rFonts w:hint="eastAsia" w:ascii="宋体" w:hAnsi="宋体" w:eastAsia="宋体" w:cs="宋体"/>
          <w:color w:val="auto"/>
          <w:sz w:val="24"/>
          <w:szCs w:val="24"/>
          <w:highlight w:val="none"/>
        </w:rPr>
        <w:t>。</w:t>
      </w:r>
    </w:p>
    <w:p w14:paraId="5600A025">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62" w:name="OLE_LINK95"/>
      <w:bookmarkStart w:id="63"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62"/>
      <w:bookmarkEnd w:id="63"/>
      <w:r>
        <w:rPr>
          <w:rFonts w:hint="eastAsia" w:ascii="宋体" w:hAnsi="宋体" w:eastAsia="宋体" w:cs="宋体"/>
          <w:color w:val="auto"/>
          <w:sz w:val="24"/>
          <w:szCs w:val="24"/>
          <w:highlight w:val="none"/>
        </w:rPr>
        <w:t>）查询以下失信行为：</w:t>
      </w:r>
    </w:p>
    <w:p w14:paraId="4EFF419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64" w:name="OLE_LINK104"/>
      <w:bookmarkStart w:id="65" w:name="OLE_LINK106"/>
      <w:bookmarkStart w:id="66" w:name="OLE_LINK105"/>
      <w:r>
        <w:rPr>
          <w:rFonts w:hint="eastAsia" w:ascii="宋体" w:hAnsi="宋体" w:eastAsia="宋体" w:cs="宋体"/>
          <w:color w:val="auto"/>
          <w:sz w:val="24"/>
          <w:szCs w:val="24"/>
          <w:highlight w:val="none"/>
        </w:rPr>
        <w:t>被列入“政府采购严重违法失信行为信息记录”的</w:t>
      </w:r>
      <w:bookmarkEnd w:id="64"/>
      <w:bookmarkEnd w:id="65"/>
      <w:bookmarkEnd w:id="66"/>
      <w:r>
        <w:rPr>
          <w:rFonts w:hint="eastAsia" w:ascii="宋体" w:hAnsi="宋体" w:eastAsia="宋体" w:cs="宋体"/>
          <w:color w:val="auto"/>
          <w:sz w:val="24"/>
          <w:szCs w:val="24"/>
          <w:highlight w:val="none"/>
        </w:rPr>
        <w:t>。</w:t>
      </w:r>
    </w:p>
    <w:p w14:paraId="201DAF54">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33591D26">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61A28529">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0C3AADBB">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DC8B3AF">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96FCF9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3F5AAD33">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29186AE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3C02FD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F629ECB">
      <w:pPr>
        <w:pageBreakBefore w:val="0"/>
        <w:widowControl/>
        <w:kinsoku w:val="0"/>
        <w:wordWrap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79DCB69">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699DBF12">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p>
    <w:p w14:paraId="3E92DEDC">
      <w:pPr>
        <w:keepNext/>
        <w:keepLines/>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bCs/>
          <w:color w:val="auto"/>
          <w:kern w:val="44"/>
          <w:sz w:val="24"/>
          <w:szCs w:val="24"/>
          <w:highlight w:val="none"/>
        </w:rPr>
      </w:pPr>
      <w:bookmarkStart w:id="67" w:name="_Toc95223549"/>
      <w:r>
        <w:rPr>
          <w:rFonts w:hint="eastAsia" w:ascii="宋体" w:hAnsi="宋体" w:eastAsia="宋体" w:cs="宋体"/>
          <w:b/>
          <w:bCs/>
          <w:color w:val="auto"/>
          <w:kern w:val="44"/>
          <w:sz w:val="24"/>
          <w:szCs w:val="24"/>
          <w:highlight w:val="none"/>
        </w:rPr>
        <w:t xml:space="preserve">附件2 </w:t>
      </w:r>
      <w:bookmarkStart w:id="68" w:name="OLE_LINK74"/>
      <w:bookmarkStart w:id="69" w:name="OLE_LINK75"/>
      <w:r>
        <w:rPr>
          <w:rFonts w:hint="eastAsia" w:ascii="宋体" w:hAnsi="宋体" w:eastAsia="宋体" w:cs="宋体"/>
          <w:b/>
          <w:bCs/>
          <w:color w:val="auto"/>
          <w:kern w:val="44"/>
          <w:sz w:val="24"/>
          <w:szCs w:val="24"/>
          <w:highlight w:val="none"/>
        </w:rPr>
        <w:t>“信用中国”查询的严重失信行为</w:t>
      </w:r>
      <w:bookmarkStart w:id="70" w:name="OLE_LINK40"/>
      <w:bookmarkStart w:id="71" w:name="OLE_LINK76"/>
      <w:bookmarkStart w:id="72" w:name="OLE_LINK39"/>
      <w:r>
        <w:rPr>
          <w:rFonts w:hint="eastAsia" w:ascii="宋体" w:hAnsi="宋体" w:eastAsia="宋体" w:cs="宋体"/>
          <w:b/>
          <w:bCs/>
          <w:color w:val="auto"/>
          <w:kern w:val="44"/>
          <w:sz w:val="24"/>
          <w:szCs w:val="24"/>
          <w:highlight w:val="none"/>
        </w:rPr>
        <w:t>类别及判定依据</w:t>
      </w:r>
      <w:bookmarkEnd w:id="67"/>
      <w:bookmarkEnd w:id="68"/>
      <w:bookmarkEnd w:id="69"/>
      <w:bookmarkEnd w:id="70"/>
      <w:bookmarkEnd w:id="71"/>
      <w:bookmarkEnd w:id="72"/>
    </w:p>
    <w:p w14:paraId="114BAE89">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56ED4766">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1268753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4DB156B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54F9BE5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4968D0E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1D44117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39D2678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694CCFD3">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12872E0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093F5AD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2049896C">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1337AB15">
      <w:pPr>
        <w:keepNext w:val="0"/>
        <w:keepLines w:val="0"/>
        <w:pageBreakBefore w:val="0"/>
        <w:widowControl/>
        <w:kinsoku/>
        <w:wordWrap w:val="0"/>
        <w:overflowPunct/>
        <w:topLinePunct/>
        <w:autoSpaceDE/>
        <w:autoSpaceDN/>
        <w:bidi w:val="0"/>
        <w:adjustRightInd w:val="0"/>
        <w:snapToGrid w:val="0"/>
        <w:spacing w:line="440" w:lineRule="exact"/>
        <w:ind w:firstLine="646"/>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4、其他违反安全生产法律法规受到行政处罚，且性质恶劣、情节严重的</w:t>
      </w:r>
      <w:r>
        <w:rPr>
          <w:rFonts w:hint="eastAsia" w:ascii="宋体" w:hAnsi="宋体" w:eastAsia="宋体" w:cs="宋体"/>
          <w:color w:val="auto"/>
          <w:sz w:val="24"/>
          <w:szCs w:val="24"/>
          <w:highlight w:val="none"/>
          <w:lang w:eastAsia="zh-CN"/>
        </w:rPr>
        <w:t>。</w:t>
      </w:r>
    </w:p>
    <w:p w14:paraId="38876C2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23784079">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p>
    <w:p w14:paraId="5F8C5BA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1C943DC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8CDF9F8">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40164AF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63AB2BE2">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76A6B7C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20EB02C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26D3469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BF02A6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048DBBD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0AD8AD0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030513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1FF2D0F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B2149B8">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6238A95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0BC016C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73" w:name="OLE_LINK8"/>
      <w:bookmarkStart w:id="74" w:name="OLE_LINK10"/>
      <w:bookmarkStart w:id="75" w:name="OLE_LINK9"/>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73"/>
      <w:bookmarkEnd w:id="74"/>
      <w:bookmarkEnd w:id="75"/>
      <w:r>
        <w:rPr>
          <w:rFonts w:hint="eastAsia" w:ascii="宋体" w:hAnsi="宋体" w:eastAsia="宋体" w:cs="宋体"/>
          <w:b/>
          <w:color w:val="auto"/>
          <w:sz w:val="24"/>
          <w:szCs w:val="24"/>
          <w:highlight w:val="none"/>
        </w:rPr>
        <w:t>》、《</w:t>
      </w:r>
      <w:bookmarkStart w:id="76" w:name="OLE_LINK12"/>
      <w:bookmarkStart w:id="77" w:name="OLE_LINK11"/>
      <w:r>
        <w:rPr>
          <w:rFonts w:hint="eastAsia" w:ascii="宋体" w:hAnsi="宋体" w:eastAsia="宋体" w:cs="宋体"/>
          <w:b/>
          <w:color w:val="auto"/>
          <w:sz w:val="24"/>
          <w:szCs w:val="24"/>
          <w:highlight w:val="none"/>
        </w:rPr>
        <w:t>企业环境信用评价办法（试行）</w:t>
      </w:r>
      <w:bookmarkEnd w:id="76"/>
      <w:bookmarkEnd w:id="77"/>
      <w:r>
        <w:rPr>
          <w:rFonts w:hint="eastAsia" w:ascii="宋体" w:hAnsi="宋体" w:eastAsia="宋体" w:cs="宋体"/>
          <w:b/>
          <w:color w:val="auto"/>
          <w:sz w:val="24"/>
          <w:szCs w:val="24"/>
          <w:highlight w:val="none"/>
        </w:rPr>
        <w:t>》（环发〔2013〕150号）</w:t>
      </w:r>
    </w:p>
    <w:p w14:paraId="4D78B34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p>
    <w:p w14:paraId="044DD00B">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059F8F1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01F465C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6AF7CADC">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（三）招标人以不合理的条件限制或者排斥潜在投标人的，对潜在投标人实行歧视待遇的，强制要求投标人组成联合体共同投标的，或者限制投标人之间竞争的；</w:t>
      </w:r>
    </w:p>
    <w:p w14:paraId="4D97D89C">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F28F1FB">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1144919E">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0F063BFE">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1F1E2C9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E6308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059E654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3E39ED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4EEE2E6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24A32E8C">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FD02EC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B2504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（十五）采购人对应当实行集中采购的政府采购项目，不委托集中采购机构实行集中采购的； </w:t>
      </w:r>
    </w:p>
    <w:p w14:paraId="4A16566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1AEA57F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6ED8CD3">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25FE718C">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4B9FCD19">
      <w:pPr>
        <w:pageBreakBefore w:val="0"/>
        <w:widowControl/>
        <w:kinsoku w:val="0"/>
        <w:overflowPunct/>
        <w:topLinePunct w:val="0"/>
        <w:autoSpaceDE w:val="0"/>
        <w:autoSpaceDN w:val="0"/>
        <w:bidi w:val="0"/>
        <w:adjustRightInd w:val="0"/>
        <w:snapToGrid w:val="0"/>
        <w:spacing w:line="44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78" w:name="OLE_LINK13"/>
      <w:bookmarkStart w:id="79" w:name="OLE_LINK14"/>
      <w:r>
        <w:rPr>
          <w:rFonts w:hint="eastAsia" w:ascii="宋体" w:hAnsi="宋体" w:eastAsia="宋体" w:cs="宋体"/>
          <w:b/>
          <w:color w:val="auto"/>
          <w:sz w:val="24"/>
          <w:szCs w:val="24"/>
          <w:highlight w:val="none"/>
        </w:rPr>
        <w:t>关于对公共资源交易领域严重失信主体开展联合惩戒的备忘录</w:t>
      </w:r>
      <w:bookmarkEnd w:id="78"/>
      <w:bookmarkEnd w:id="79"/>
      <w:r>
        <w:rPr>
          <w:rFonts w:hint="eastAsia" w:ascii="宋体" w:hAnsi="宋体" w:eastAsia="宋体" w:cs="宋体"/>
          <w:b/>
          <w:color w:val="auto"/>
          <w:sz w:val="24"/>
          <w:szCs w:val="24"/>
          <w:highlight w:val="none"/>
        </w:rPr>
        <w:t>》（发改法规〔2018〕457号）</w:t>
      </w:r>
    </w:p>
    <w:p w14:paraId="720AA4F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p>
    <w:p w14:paraId="04E239C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0BB35F2C">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3BD5F630">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7A422674">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447E22F1">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（四）隐匿、转移、侵占、挪用社会保险费款、基金或者违规投资运营</w:t>
      </w:r>
      <w:r>
        <w:rPr>
          <w:rFonts w:hint="eastAsia" w:ascii="宋体" w:hAnsi="宋体" w:eastAsia="宋体" w:cs="宋体"/>
          <w:color w:val="auto"/>
          <w:sz w:val="24"/>
          <w:szCs w:val="24"/>
          <w:highlight w:val="none"/>
          <w:lang w:val="en-US" w:eastAsia="zh-CN"/>
        </w:rPr>
        <w:t>的;</w:t>
      </w:r>
    </w:p>
    <w:p w14:paraId="74E67321">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1A2DFEE2">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1301ABD9">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F9C0354">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2FD6F6C0">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27EDDF52">
      <w:pPr>
        <w:pageBreakBefore w:val="0"/>
        <w:widowControl/>
        <w:kinsoku w:val="0"/>
        <w:overflowPunct/>
        <w:topLinePunct w:val="0"/>
        <w:autoSpaceDE w:val="0"/>
        <w:autoSpaceDN w:val="0"/>
        <w:bidi w:val="0"/>
        <w:adjustRightInd w:val="0"/>
        <w:snapToGrid w:val="0"/>
        <w:spacing w:line="44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80" w:name="OLE_LINK16"/>
      <w:bookmarkStart w:id="81"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80"/>
      <w:bookmarkEnd w:id="81"/>
      <w:r>
        <w:rPr>
          <w:rFonts w:hint="eastAsia" w:ascii="宋体" w:hAnsi="宋体" w:eastAsia="宋体" w:cs="宋体"/>
          <w:b/>
          <w:color w:val="auto"/>
          <w:sz w:val="24"/>
          <w:szCs w:val="24"/>
          <w:highlight w:val="none"/>
        </w:rPr>
        <w:t>》（发改财金〔2018〕1704号）</w:t>
      </w:r>
    </w:p>
    <w:p w14:paraId="1C685B1A">
      <w:pPr>
        <w:pageBreakBefore w:val="0"/>
        <w:widowControl/>
        <w:kinsoku w:val="0"/>
        <w:overflowPunct/>
        <w:topLinePunct w:val="0"/>
        <w:autoSpaceDE w:val="0"/>
        <w:autoSpaceDN w:val="0"/>
        <w:bidi w:val="0"/>
        <w:adjustRightInd w:val="0"/>
        <w:snapToGrid w:val="0"/>
        <w:spacing w:line="44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60E74A">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9C42B0">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1212A309">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AE2BB05">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7193D453">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4839CD12">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61F96679">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82" w:name="OLE_LINK18"/>
      <w:bookmarkStart w:id="83" w:name="OLE_LINK17"/>
      <w:r>
        <w:rPr>
          <w:rFonts w:hint="eastAsia" w:ascii="宋体" w:hAnsi="宋体" w:eastAsia="宋体" w:cs="宋体"/>
          <w:b/>
          <w:color w:val="auto"/>
          <w:sz w:val="24"/>
          <w:szCs w:val="24"/>
          <w:highlight w:val="none"/>
        </w:rPr>
        <w:t>建筑市场信用管理暂行办法</w:t>
      </w:r>
      <w:bookmarkEnd w:id="82"/>
      <w:bookmarkEnd w:id="83"/>
      <w:r>
        <w:rPr>
          <w:rFonts w:hint="eastAsia" w:ascii="宋体" w:hAnsi="宋体" w:eastAsia="宋体" w:cs="宋体"/>
          <w:b/>
          <w:color w:val="auto"/>
          <w:sz w:val="24"/>
          <w:szCs w:val="24"/>
          <w:highlight w:val="none"/>
        </w:rPr>
        <w:t>》（建市〔2017〕241号）</w:t>
      </w:r>
    </w:p>
    <w:p w14:paraId="5ABC3CBD">
      <w:pPr>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color w:val="auto"/>
          <w:sz w:val="24"/>
          <w:szCs w:val="24"/>
          <w:highlight w:val="none"/>
        </w:rPr>
      </w:pPr>
    </w:p>
    <w:p w14:paraId="3B02F05D">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84" w:name="OLE_LINK20"/>
      <w:bookmarkStart w:id="85" w:name="OLE_LINK19"/>
      <w:r>
        <w:rPr>
          <w:rFonts w:hint="eastAsia" w:ascii="宋体" w:hAnsi="宋体" w:eastAsia="宋体" w:cs="宋体"/>
          <w:b/>
          <w:color w:val="auto"/>
          <w:sz w:val="24"/>
          <w:szCs w:val="24"/>
          <w:highlight w:val="none"/>
        </w:rPr>
        <w:t>政府采购严重失信行为</w:t>
      </w:r>
      <w:bookmarkEnd w:id="84"/>
      <w:bookmarkEnd w:id="85"/>
    </w:p>
    <w:p w14:paraId="1B748037">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p>
    <w:p w14:paraId="7FD157F7">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（一）三万元以上罚款；</w:t>
      </w:r>
    </w:p>
    <w:p w14:paraId="4E44838A">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（二）在一至三年内禁止参加政府采购活动（处罚期限届满的除外）</w:t>
      </w:r>
      <w:r>
        <w:rPr>
          <w:rFonts w:hint="eastAsia" w:ascii="宋体" w:hAnsi="宋体" w:eastAsia="宋体" w:cs="宋体"/>
          <w:color w:val="auto"/>
          <w:sz w:val="24"/>
          <w:szCs w:val="24"/>
          <w:highlight w:val="none"/>
          <w:lang w:val="en-US" w:eastAsia="zh-CN"/>
        </w:rPr>
        <w:t>;</w:t>
      </w:r>
    </w:p>
    <w:p w14:paraId="58BCD77C">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（三）在一至三年内禁止代理政府采购业务（处罚期限届满的除外）</w:t>
      </w:r>
      <w:r>
        <w:rPr>
          <w:rFonts w:hint="eastAsia" w:ascii="宋体" w:hAnsi="宋体" w:eastAsia="宋体" w:cs="宋体"/>
          <w:color w:val="auto"/>
          <w:sz w:val="24"/>
          <w:szCs w:val="24"/>
          <w:highlight w:val="none"/>
          <w:lang w:val="en-US" w:eastAsia="zh-CN"/>
        </w:rPr>
        <w:t>;</w:t>
      </w:r>
    </w:p>
    <w:p w14:paraId="1013774B">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（四）撤销政府采购代理机构资格（仅针对《政府采购法》第78条修改前作出的处罚决定）。</w:t>
      </w:r>
    </w:p>
    <w:p w14:paraId="21FE2689">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0253003B">
      <w:pPr>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color w:val="auto"/>
          <w:sz w:val="24"/>
          <w:szCs w:val="24"/>
          <w:highlight w:val="none"/>
        </w:rPr>
      </w:pPr>
    </w:p>
    <w:p w14:paraId="2A9844E4">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4E92E37E">
      <w:pPr>
        <w:outlineLvl w:val="9"/>
        <w:rPr>
          <w:rFonts w:ascii="Arial"/>
          <w:color w:val="auto"/>
          <w:sz w:val="21"/>
          <w:highlight w:val="none"/>
        </w:rPr>
      </w:pPr>
    </w:p>
    <w:p w14:paraId="5C7B8F5C">
      <w:pPr>
        <w:spacing w:line="440" w:lineRule="exact"/>
        <w:jc w:val="both"/>
        <w:outlineLvl w:val="9"/>
        <w:rPr>
          <w:rFonts w:hint="eastAsia" w:ascii="宋体" w:hAnsi="宋体" w:cs="宋体"/>
          <w:b/>
          <w:color w:val="auto"/>
          <w:sz w:val="32"/>
          <w:szCs w:val="32"/>
          <w:highlight w:val="none"/>
        </w:rPr>
      </w:pPr>
    </w:p>
    <w:p w14:paraId="7E042E40">
      <w:pPr>
        <w:spacing w:line="440" w:lineRule="exact"/>
        <w:jc w:val="both"/>
        <w:outlineLvl w:val="9"/>
        <w:rPr>
          <w:rFonts w:hint="eastAsia" w:ascii="宋体" w:hAnsi="宋体" w:cs="宋体"/>
          <w:b/>
          <w:color w:val="auto"/>
          <w:sz w:val="32"/>
          <w:szCs w:val="32"/>
          <w:highlight w:val="none"/>
        </w:rPr>
      </w:pPr>
    </w:p>
    <w:p w14:paraId="19F836F9">
      <w:pPr>
        <w:spacing w:line="440" w:lineRule="exact"/>
        <w:jc w:val="both"/>
        <w:outlineLvl w:val="9"/>
        <w:rPr>
          <w:rFonts w:hint="eastAsia" w:ascii="宋体" w:hAnsi="宋体" w:cs="宋体"/>
          <w:b/>
          <w:color w:val="auto"/>
          <w:sz w:val="32"/>
          <w:szCs w:val="32"/>
          <w:highlight w:val="none"/>
        </w:rPr>
      </w:pPr>
    </w:p>
    <w:p w14:paraId="761B711B">
      <w:pPr>
        <w:spacing w:line="440" w:lineRule="exact"/>
        <w:jc w:val="both"/>
        <w:outlineLvl w:val="9"/>
        <w:rPr>
          <w:rFonts w:hint="eastAsia" w:ascii="宋体" w:hAnsi="宋体" w:cs="宋体"/>
          <w:b/>
          <w:color w:val="auto"/>
          <w:sz w:val="32"/>
          <w:szCs w:val="32"/>
          <w:highlight w:val="none"/>
        </w:rPr>
      </w:pPr>
    </w:p>
    <w:p w14:paraId="420A9815">
      <w:pPr>
        <w:spacing w:line="440" w:lineRule="exact"/>
        <w:jc w:val="both"/>
        <w:outlineLvl w:val="0"/>
        <w:rPr>
          <w:rFonts w:hint="eastAsia" w:ascii="宋体" w:hAnsi="宋体" w:cs="宋体"/>
          <w:b/>
          <w:color w:val="auto"/>
          <w:sz w:val="32"/>
          <w:szCs w:val="32"/>
          <w:highlight w:val="none"/>
        </w:rPr>
      </w:pPr>
    </w:p>
    <w:p w14:paraId="069273AD">
      <w:pPr>
        <w:pStyle w:val="30"/>
        <w:ind w:left="0" w:leftChars="0" w:firstLine="0" w:firstLineChars="0"/>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3FBE">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596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A67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1082">
    <w:pPr>
      <w:pStyle w:val="16"/>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627245FE"/>
    <w:multiLevelType w:val="singleLevel"/>
    <w:tmpl w:val="627245F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747B3E"/>
    <w:rsid w:val="0980799C"/>
    <w:rsid w:val="09944B8E"/>
    <w:rsid w:val="0A6A18DB"/>
    <w:rsid w:val="0A975B48"/>
    <w:rsid w:val="0AEF3828"/>
    <w:rsid w:val="0B406381"/>
    <w:rsid w:val="0BB452AA"/>
    <w:rsid w:val="0BBB665B"/>
    <w:rsid w:val="0CAA6E21"/>
    <w:rsid w:val="0DF04D08"/>
    <w:rsid w:val="0EEA6FC1"/>
    <w:rsid w:val="0EEF3211"/>
    <w:rsid w:val="0F790928"/>
    <w:rsid w:val="10CD72BB"/>
    <w:rsid w:val="112E6AAD"/>
    <w:rsid w:val="12197477"/>
    <w:rsid w:val="12380A2C"/>
    <w:rsid w:val="131B5CD3"/>
    <w:rsid w:val="13776448"/>
    <w:rsid w:val="1466407E"/>
    <w:rsid w:val="14834E28"/>
    <w:rsid w:val="148E7D65"/>
    <w:rsid w:val="14BA613B"/>
    <w:rsid w:val="14FC608F"/>
    <w:rsid w:val="15231BF9"/>
    <w:rsid w:val="15441E8D"/>
    <w:rsid w:val="15C4546D"/>
    <w:rsid w:val="19526F10"/>
    <w:rsid w:val="1A064976"/>
    <w:rsid w:val="1A3108B0"/>
    <w:rsid w:val="1A3B68AA"/>
    <w:rsid w:val="1A3E1C1E"/>
    <w:rsid w:val="1B6F4F40"/>
    <w:rsid w:val="1C141836"/>
    <w:rsid w:val="1C76537D"/>
    <w:rsid w:val="1E6B6A14"/>
    <w:rsid w:val="1EEF00B4"/>
    <w:rsid w:val="20550D9A"/>
    <w:rsid w:val="218E2416"/>
    <w:rsid w:val="226915FE"/>
    <w:rsid w:val="241804A5"/>
    <w:rsid w:val="24B97929"/>
    <w:rsid w:val="24D632D7"/>
    <w:rsid w:val="25BA7C7E"/>
    <w:rsid w:val="27D65DBA"/>
    <w:rsid w:val="285F40CA"/>
    <w:rsid w:val="289E1AF0"/>
    <w:rsid w:val="28BE7A85"/>
    <w:rsid w:val="28C01ECB"/>
    <w:rsid w:val="29BF71E3"/>
    <w:rsid w:val="29D6387F"/>
    <w:rsid w:val="2A127B63"/>
    <w:rsid w:val="2A451A6C"/>
    <w:rsid w:val="2AAA4765"/>
    <w:rsid w:val="2AC21606"/>
    <w:rsid w:val="2B062266"/>
    <w:rsid w:val="2B7E7608"/>
    <w:rsid w:val="2B7F04E9"/>
    <w:rsid w:val="2B8B554A"/>
    <w:rsid w:val="2D2C4E0A"/>
    <w:rsid w:val="2D496D68"/>
    <w:rsid w:val="2E7A48DE"/>
    <w:rsid w:val="2EBA5177"/>
    <w:rsid w:val="2EDC3ED8"/>
    <w:rsid w:val="2F104B00"/>
    <w:rsid w:val="2F6351B4"/>
    <w:rsid w:val="2FC86126"/>
    <w:rsid w:val="2FCF199E"/>
    <w:rsid w:val="30483E83"/>
    <w:rsid w:val="30BF3991"/>
    <w:rsid w:val="3111619A"/>
    <w:rsid w:val="31935552"/>
    <w:rsid w:val="31B139DC"/>
    <w:rsid w:val="32497AF3"/>
    <w:rsid w:val="343C0775"/>
    <w:rsid w:val="353B47C2"/>
    <w:rsid w:val="356C50EC"/>
    <w:rsid w:val="36137E45"/>
    <w:rsid w:val="36376E0A"/>
    <w:rsid w:val="3700166C"/>
    <w:rsid w:val="376D39F8"/>
    <w:rsid w:val="379A1012"/>
    <w:rsid w:val="38694EE9"/>
    <w:rsid w:val="38C369F1"/>
    <w:rsid w:val="394A0CFB"/>
    <w:rsid w:val="39DD6043"/>
    <w:rsid w:val="3A6818FA"/>
    <w:rsid w:val="3B365CC9"/>
    <w:rsid w:val="3B46294E"/>
    <w:rsid w:val="3B9A7B88"/>
    <w:rsid w:val="3BD333EF"/>
    <w:rsid w:val="3D292CF7"/>
    <w:rsid w:val="3D2C7AC8"/>
    <w:rsid w:val="3D855D12"/>
    <w:rsid w:val="3D8B42FF"/>
    <w:rsid w:val="3DDA2813"/>
    <w:rsid w:val="3DE86C4C"/>
    <w:rsid w:val="3DF36A6E"/>
    <w:rsid w:val="3EBA1EE9"/>
    <w:rsid w:val="3F312C16"/>
    <w:rsid w:val="3F792F1E"/>
    <w:rsid w:val="3FBD063E"/>
    <w:rsid w:val="3FBD419A"/>
    <w:rsid w:val="40791AF0"/>
    <w:rsid w:val="40824826"/>
    <w:rsid w:val="40E63923"/>
    <w:rsid w:val="41B33AA7"/>
    <w:rsid w:val="43501882"/>
    <w:rsid w:val="43A91E5B"/>
    <w:rsid w:val="449E0D39"/>
    <w:rsid w:val="45E32B26"/>
    <w:rsid w:val="463A3650"/>
    <w:rsid w:val="46461627"/>
    <w:rsid w:val="469F0116"/>
    <w:rsid w:val="475259B7"/>
    <w:rsid w:val="488302AE"/>
    <w:rsid w:val="48831CF9"/>
    <w:rsid w:val="49024C9C"/>
    <w:rsid w:val="495F62C2"/>
    <w:rsid w:val="49B1408D"/>
    <w:rsid w:val="4A7D4FD2"/>
    <w:rsid w:val="4A913C9A"/>
    <w:rsid w:val="4B1F70AC"/>
    <w:rsid w:val="4B240F94"/>
    <w:rsid w:val="4C0832E5"/>
    <w:rsid w:val="4C0D46FC"/>
    <w:rsid w:val="4C3C565C"/>
    <w:rsid w:val="4CCC79C7"/>
    <w:rsid w:val="4D7555C7"/>
    <w:rsid w:val="4EAE6DA0"/>
    <w:rsid w:val="4F6665FD"/>
    <w:rsid w:val="4FE617D9"/>
    <w:rsid w:val="5016514B"/>
    <w:rsid w:val="50BD4DF3"/>
    <w:rsid w:val="50FC1A26"/>
    <w:rsid w:val="5137480A"/>
    <w:rsid w:val="51723664"/>
    <w:rsid w:val="51CB1C78"/>
    <w:rsid w:val="51FD6A51"/>
    <w:rsid w:val="526B680A"/>
    <w:rsid w:val="52836F71"/>
    <w:rsid w:val="52D26B02"/>
    <w:rsid w:val="537D3F15"/>
    <w:rsid w:val="541A5D30"/>
    <w:rsid w:val="54D133A1"/>
    <w:rsid w:val="555836E3"/>
    <w:rsid w:val="55C1559C"/>
    <w:rsid w:val="55F068CD"/>
    <w:rsid w:val="566C3136"/>
    <w:rsid w:val="568D04F2"/>
    <w:rsid w:val="581D136C"/>
    <w:rsid w:val="5A526582"/>
    <w:rsid w:val="5A5F5C77"/>
    <w:rsid w:val="5A711A0D"/>
    <w:rsid w:val="5B1613E4"/>
    <w:rsid w:val="5B78003B"/>
    <w:rsid w:val="5BC11A60"/>
    <w:rsid w:val="5C7A4D54"/>
    <w:rsid w:val="5CD23B73"/>
    <w:rsid w:val="5F127819"/>
    <w:rsid w:val="60350ED3"/>
    <w:rsid w:val="60B72AEE"/>
    <w:rsid w:val="61025188"/>
    <w:rsid w:val="61057D5F"/>
    <w:rsid w:val="611D2084"/>
    <w:rsid w:val="614D4977"/>
    <w:rsid w:val="63C60FC0"/>
    <w:rsid w:val="64BA3D7A"/>
    <w:rsid w:val="64F179BC"/>
    <w:rsid w:val="655C66C3"/>
    <w:rsid w:val="665704D3"/>
    <w:rsid w:val="66A852F5"/>
    <w:rsid w:val="66AB0941"/>
    <w:rsid w:val="67C065A4"/>
    <w:rsid w:val="67D359C9"/>
    <w:rsid w:val="68042537"/>
    <w:rsid w:val="687A681D"/>
    <w:rsid w:val="68C46CA4"/>
    <w:rsid w:val="68FE36DD"/>
    <w:rsid w:val="694E60FC"/>
    <w:rsid w:val="6A256904"/>
    <w:rsid w:val="6B656832"/>
    <w:rsid w:val="6C675CE6"/>
    <w:rsid w:val="6D4F4321"/>
    <w:rsid w:val="6DF41B82"/>
    <w:rsid w:val="6DFF7360"/>
    <w:rsid w:val="6E7A5F73"/>
    <w:rsid w:val="6EE90F9D"/>
    <w:rsid w:val="6FD703B4"/>
    <w:rsid w:val="6FD74228"/>
    <w:rsid w:val="7021106F"/>
    <w:rsid w:val="70D50A94"/>
    <w:rsid w:val="715C2F64"/>
    <w:rsid w:val="71633091"/>
    <w:rsid w:val="726B627F"/>
    <w:rsid w:val="73081CA5"/>
    <w:rsid w:val="739F58FB"/>
    <w:rsid w:val="74201F7D"/>
    <w:rsid w:val="7487762D"/>
    <w:rsid w:val="74C33AA4"/>
    <w:rsid w:val="75210D7A"/>
    <w:rsid w:val="75385498"/>
    <w:rsid w:val="75A30A62"/>
    <w:rsid w:val="75F37776"/>
    <w:rsid w:val="76BC207F"/>
    <w:rsid w:val="76EB4904"/>
    <w:rsid w:val="77645DCD"/>
    <w:rsid w:val="777378F5"/>
    <w:rsid w:val="777A2D3C"/>
    <w:rsid w:val="79074B81"/>
    <w:rsid w:val="794F0939"/>
    <w:rsid w:val="79AF0FCA"/>
    <w:rsid w:val="79C42366"/>
    <w:rsid w:val="7A2517BB"/>
    <w:rsid w:val="7A3929EF"/>
    <w:rsid w:val="7AF9279C"/>
    <w:rsid w:val="7CC51958"/>
    <w:rsid w:val="7CD53DF9"/>
    <w:rsid w:val="7D097C86"/>
    <w:rsid w:val="7E2936C3"/>
    <w:rsid w:val="7E6411B9"/>
    <w:rsid w:val="7F5B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link w:val="48"/>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0"/>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5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7"/>
    <w:qFormat/>
    <w:uiPriority w:val="99"/>
    <w:rPr>
      <w:rFonts w:ascii="宋体" w:hAnsi="Courier New" w:eastAsiaTheme="minorEastAsia" w:cstheme="minorBidi"/>
      <w:szCs w:val="22"/>
    </w:rPr>
  </w:style>
  <w:style w:type="paragraph" w:styleId="12">
    <w:name w:val="Date"/>
    <w:basedOn w:val="1"/>
    <w:link w:val="44"/>
    <w:qFormat/>
    <w:uiPriority w:val="0"/>
    <w:rPr>
      <w:rFonts w:ascii="Arial" w:hAnsi="Arial" w:eastAsia="宋体" w:cs="Arial"/>
      <w:b/>
      <w:sz w:val="28"/>
    </w:rPr>
  </w:style>
  <w:style w:type="paragraph" w:styleId="13">
    <w:name w:val="Balloon Text"/>
    <w:basedOn w:val="1"/>
    <w:link w:val="31"/>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qFormat/>
    <w:uiPriority w:val="0"/>
    <w:pPr>
      <w:jc w:val="center"/>
    </w:pPr>
    <w:rPr>
      <w:rFonts w:ascii="Arial" w:hAnsi="Arial" w:eastAsia="Arial" w:cs="Arial"/>
      <w:b/>
      <w:bCs/>
      <w:sz w:val="28"/>
    </w:rPr>
  </w:style>
  <w:style w:type="paragraph" w:styleId="21">
    <w:name w:val="annotation subject"/>
    <w:basedOn w:val="7"/>
    <w:link w:val="5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qFormat/>
    <w:uiPriority w:val="0"/>
    <w:pPr>
      <w:ind w:left="420" w:firstLine="420" w:firstLineChars="200"/>
    </w:pPr>
    <w:rPr>
      <w:rFonts w:ascii="Times New Roman" w:hAnsi="Times New Roman" w:eastAsia="宋体" w:cs="Times New Roman"/>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paragraph" w:customStyle="1" w:styleId="30">
    <w:name w:val="首行缩进"/>
    <w:basedOn w:val="1"/>
    <w:qFormat/>
    <w:uiPriority w:val="0"/>
    <w:pPr>
      <w:ind w:firstLine="480" w:firstLineChars="200"/>
    </w:pPr>
    <w:rPr>
      <w:lang w:val="zh-CN"/>
    </w:rPr>
  </w:style>
  <w:style w:type="character" w:customStyle="1" w:styleId="31">
    <w:name w:val="批注框文本 Char"/>
    <w:basedOn w:val="26"/>
    <w:link w:val="13"/>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6"/>
    <w:qFormat/>
    <w:uiPriority w:val="0"/>
    <w:pPr>
      <w:pBdr>
        <w:bottom w:val="thinThickSmallGap" w:color="auto" w:sz="18" w:space="1"/>
      </w:pBdr>
      <w:adjustRightInd w:val="0"/>
      <w:snapToGrid/>
      <w:spacing w:line="240" w:lineRule="atLeast"/>
    </w:pPr>
    <w:rPr>
      <w:kern w:val="0"/>
      <w:sz w:val="24"/>
      <w:szCs w:val="20"/>
    </w:rPr>
  </w:style>
  <w:style w:type="character" w:customStyle="1" w:styleId="35">
    <w:name w:val="页眉 Char"/>
    <w:basedOn w:val="26"/>
    <w:link w:val="16"/>
    <w:qFormat/>
    <w:uiPriority w:val="99"/>
    <w:rPr>
      <w:rFonts w:ascii="@仿宋_GB2312" w:hAnsi="@仿宋_GB2312" w:eastAsia="@仿宋_GB2312" w:cs="@仿宋_GB2312"/>
      <w:sz w:val="18"/>
      <w:szCs w:val="18"/>
    </w:rPr>
  </w:style>
  <w:style w:type="character" w:customStyle="1" w:styleId="36">
    <w:name w:val="页脚 Char"/>
    <w:basedOn w:val="26"/>
    <w:link w:val="14"/>
    <w:qFormat/>
    <w:uiPriority w:val="99"/>
    <w:rPr>
      <w:rFonts w:ascii="@仿宋_GB2312" w:hAnsi="@仿宋_GB2312" w:eastAsia="@仿宋_GB2312" w:cs="@仿宋_GB2312"/>
      <w:sz w:val="18"/>
      <w:szCs w:val="18"/>
    </w:rPr>
  </w:style>
  <w:style w:type="character" w:customStyle="1" w:styleId="37">
    <w:name w:val="纯文本 Char"/>
    <w:link w:val="11"/>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Char"/>
    <w:link w:val="12"/>
    <w:qFormat/>
    <w:uiPriority w:val="0"/>
    <w:rPr>
      <w:rFonts w:ascii="Arial" w:hAnsi="Arial" w:eastAsia="宋体" w:cs="Arial"/>
      <w:b/>
      <w:sz w:val="28"/>
      <w:szCs w:val="20"/>
    </w:rPr>
  </w:style>
  <w:style w:type="character" w:customStyle="1" w:styleId="45">
    <w:name w:val="纯文本 Char1"/>
    <w:qFormat/>
    <w:uiPriority w:val="99"/>
    <w:rPr>
      <w:rFonts w:ascii="Arial" w:hAnsi="Arial" w:eastAsia="Arial"/>
      <w:kern w:val="2"/>
      <w:sz w:val="21"/>
      <w:lang w:val="en-US" w:eastAsia="zh-CN" w:bidi="ar-SA"/>
    </w:rPr>
  </w:style>
  <w:style w:type="character" w:customStyle="1" w:styleId="46">
    <w:name w:val="批注文字 Char"/>
    <w:basedOn w:val="26"/>
    <w:semiHidden/>
    <w:qFormat/>
    <w:uiPriority w:val="99"/>
    <w:rPr>
      <w:rFonts w:ascii="@仿宋_GB2312" w:hAnsi="@仿宋_GB2312" w:eastAsia="@仿宋_GB2312" w:cs="@仿宋_GB2312"/>
      <w:szCs w:val="20"/>
    </w:rPr>
  </w:style>
  <w:style w:type="character" w:customStyle="1" w:styleId="47">
    <w:name w:val="批注文字 Char1"/>
    <w:link w:val="7"/>
    <w:qFormat/>
    <w:uiPriority w:val="0"/>
    <w:rPr>
      <w:rFonts w:ascii="Arial" w:hAnsi="Arial" w:eastAsia="黑体" w:cs="Arial"/>
      <w:szCs w:val="20"/>
    </w:rPr>
  </w:style>
  <w:style w:type="character" w:customStyle="1" w:styleId="48">
    <w:name w:val="标题 1 Char"/>
    <w:basedOn w:val="26"/>
    <w:link w:val="2"/>
    <w:qFormat/>
    <w:uiPriority w:val="9"/>
    <w:rPr>
      <w:rFonts w:ascii="@仿宋_GB2312" w:hAnsi="@仿宋_GB2312" w:eastAsia="@仿宋_GB2312" w:cs="@仿宋_GB2312"/>
      <w:b/>
      <w:bCs/>
      <w:kern w:val="44"/>
      <w:sz w:val="44"/>
      <w:szCs w:val="44"/>
    </w:rPr>
  </w:style>
  <w:style w:type="paragraph" w:customStyle="1" w:styleId="49">
    <w:name w:val="TOC 标题1"/>
    <w:basedOn w:val="2"/>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4"/>
    <w:semiHidden/>
    <w:qFormat/>
    <w:uiPriority w:val="9"/>
    <w:rPr>
      <w:rFonts w:ascii="@仿宋_GB2312" w:hAnsi="@仿宋_GB2312" w:eastAsia="@仿宋_GB2312" w:cs="@仿宋_GB2312"/>
      <w:b/>
      <w:bCs/>
      <w:sz w:val="32"/>
      <w:szCs w:val="32"/>
    </w:rPr>
  </w:style>
  <w:style w:type="character" w:customStyle="1" w:styleId="51">
    <w:name w:val="fontstyle01"/>
    <w:basedOn w:val="26"/>
    <w:qFormat/>
    <w:uiPriority w:val="0"/>
    <w:rPr>
      <w:rFonts w:hint="eastAsia" w:ascii="宋体" w:hAnsi="宋体" w:eastAsia="宋体"/>
      <w:color w:val="000000"/>
      <w:sz w:val="22"/>
      <w:szCs w:val="22"/>
    </w:rPr>
  </w:style>
  <w:style w:type="character" w:customStyle="1" w:styleId="52">
    <w:name w:val="fontstyle21"/>
    <w:basedOn w:val="26"/>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semiHidden/>
    <w:qFormat/>
    <w:uiPriority w:val="9"/>
    <w:rPr>
      <w:rFonts w:asciiTheme="majorHAnsi" w:hAnsiTheme="majorHAnsi" w:eastAsiaTheme="majorEastAsia" w:cstheme="majorBidi"/>
      <w:b/>
      <w:bCs/>
      <w:sz w:val="28"/>
      <w:szCs w:val="28"/>
    </w:rPr>
  </w:style>
  <w:style w:type="character" w:customStyle="1" w:styleId="55">
    <w:name w:val="标题 4 Char1"/>
    <w:link w:val="5"/>
    <w:qFormat/>
    <w:uiPriority w:val="0"/>
    <w:rPr>
      <w:rFonts w:ascii="@仿宋_GB2312" w:hAnsi="@仿宋_GB2312" w:eastAsia="@仿宋_GB2312" w:cs="@仿宋_GB2312"/>
      <w:b/>
      <w:bCs/>
      <w:sz w:val="28"/>
      <w:szCs w:val="28"/>
    </w:rPr>
  </w:style>
  <w:style w:type="character" w:customStyle="1" w:styleId="56">
    <w:name w:val="标题 4 Char"/>
    <w:qFormat/>
    <w:uiPriority w:val="0"/>
    <w:rPr>
      <w:rFonts w:ascii="Arial" w:hAnsi="Arial" w:eastAsia="Arial"/>
      <w:b/>
      <w:bCs/>
      <w:kern w:val="2"/>
      <w:sz w:val="28"/>
      <w:szCs w:val="28"/>
      <w:lang w:val="en-US" w:eastAsia="zh-CN" w:bidi="ar-SA"/>
    </w:rPr>
  </w:style>
  <w:style w:type="table" w:customStyle="1" w:styleId="5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semiHidden/>
    <w:qFormat/>
    <w:uiPriority w:val="99"/>
    <w:rPr>
      <w:rFonts w:ascii="@仿宋_GB2312" w:hAnsi="@仿宋_GB2312" w:eastAsia="@仿宋_GB2312" w:cs="@仿宋_GB2312"/>
      <w:b/>
      <w:bCs/>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段落文字"/>
    <w:basedOn w:val="1"/>
    <w:qFormat/>
    <w:uiPriority w:val="0"/>
    <w:pPr>
      <w:spacing w:line="360" w:lineRule="auto"/>
      <w:ind w:firstLine="420" w:firstLineChars="200"/>
    </w:pPr>
    <w:rPr>
      <w:rFonts w:cs="宋体"/>
    </w:rPr>
  </w:style>
  <w:style w:type="paragraph" w:customStyle="1" w:styleId="64">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1109</Words>
  <Characters>1214</Characters>
  <Lines>1</Lines>
  <Paragraphs>1</Paragraphs>
  <TotalTime>11</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吕倩</cp:lastModifiedBy>
  <dcterms:modified xsi:type="dcterms:W3CDTF">2025-07-25T06:34:42Z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B76FB02CFFBF43AF929F44711C6DEBEF_13</vt:lpwstr>
  </property>
  <property fmtid="{D5CDD505-2E9C-101B-9397-08002B2CF9AE}" pid="4" name="KSOTemplateDocerSaveRecord">
    <vt:lpwstr>eyJoZGlkIjoiYzZhZTc3Y2E5MDYyNWU2NzRiZDA3NjMyMTNjOWM1ZWUiLCJ1c2VySWQiOiI2NTQyNTA2NjAifQ==</vt:lpwstr>
  </property>
</Properties>
</file>